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289" w:type="dxa"/>
        <w:tblLook w:val="04A0" w:firstRow="1" w:lastRow="0" w:firstColumn="1" w:lastColumn="0" w:noHBand="0" w:noVBand="1"/>
      </w:tblPr>
      <w:tblGrid>
        <w:gridCol w:w="1417"/>
        <w:gridCol w:w="1135"/>
        <w:gridCol w:w="2866"/>
        <w:gridCol w:w="4931"/>
        <w:gridCol w:w="2551"/>
        <w:gridCol w:w="1926"/>
      </w:tblGrid>
      <w:tr w:rsidR="00CB55FB" w14:paraId="65D15DF5" w14:textId="77777777" w:rsidTr="00CB74B4">
        <w:tc>
          <w:tcPr>
            <w:tcW w:w="14826" w:type="dxa"/>
            <w:gridSpan w:val="6"/>
          </w:tcPr>
          <w:p w14:paraId="0D648F12" w14:textId="67B4379D" w:rsidR="00CB55FB" w:rsidRPr="007C319B" w:rsidRDefault="00CB55FB" w:rsidP="009D2101">
            <w:pPr>
              <w:jc w:val="center"/>
              <w:rPr>
                <w:rFonts w:cstheme="minorHAnsi"/>
              </w:rPr>
            </w:pPr>
            <w:r w:rsidRPr="007C319B">
              <w:rPr>
                <w:rFonts w:cstheme="minorHAnsi"/>
                <w:sz w:val="28"/>
              </w:rPr>
              <w:t>Stocks for October Sustainability Rounds 2019</w:t>
            </w:r>
          </w:p>
        </w:tc>
      </w:tr>
      <w:tr w:rsidR="00950255" w14:paraId="600583D4" w14:textId="77777777" w:rsidTr="009737E5">
        <w:tc>
          <w:tcPr>
            <w:tcW w:w="1417" w:type="dxa"/>
          </w:tcPr>
          <w:p w14:paraId="2C0E7797" w14:textId="77777777" w:rsidR="00950255" w:rsidRPr="007C319B" w:rsidRDefault="00950255" w:rsidP="009D2101">
            <w:pPr>
              <w:jc w:val="center"/>
              <w:rPr>
                <w:rFonts w:cstheme="minorHAnsi"/>
                <w:sz w:val="28"/>
              </w:rPr>
            </w:pPr>
            <w:r w:rsidRPr="007C319B">
              <w:rPr>
                <w:rFonts w:cstheme="minorHAnsi"/>
                <w:sz w:val="28"/>
              </w:rPr>
              <w:t>Species</w:t>
            </w:r>
          </w:p>
        </w:tc>
        <w:tc>
          <w:tcPr>
            <w:tcW w:w="1135" w:type="dxa"/>
          </w:tcPr>
          <w:p w14:paraId="420EB1CC" w14:textId="77777777" w:rsidR="00950255" w:rsidRPr="007C319B" w:rsidRDefault="00950255" w:rsidP="009D2101">
            <w:pPr>
              <w:jc w:val="center"/>
              <w:rPr>
                <w:rFonts w:cstheme="minorHAnsi"/>
                <w:sz w:val="28"/>
              </w:rPr>
            </w:pPr>
            <w:r w:rsidRPr="007C319B">
              <w:rPr>
                <w:rFonts w:cstheme="minorHAnsi"/>
                <w:sz w:val="28"/>
              </w:rPr>
              <w:t>Stock</w:t>
            </w:r>
          </w:p>
        </w:tc>
        <w:tc>
          <w:tcPr>
            <w:tcW w:w="2866" w:type="dxa"/>
          </w:tcPr>
          <w:p w14:paraId="48C7C610" w14:textId="77777777" w:rsidR="00950255" w:rsidRPr="007C319B" w:rsidRDefault="00950255" w:rsidP="009D2101">
            <w:pPr>
              <w:jc w:val="center"/>
              <w:rPr>
                <w:rFonts w:cstheme="minorHAnsi"/>
                <w:sz w:val="28"/>
              </w:rPr>
            </w:pPr>
            <w:r w:rsidRPr="007C319B">
              <w:rPr>
                <w:rFonts w:cstheme="minorHAnsi"/>
                <w:sz w:val="28"/>
              </w:rPr>
              <w:t>Outlook</w:t>
            </w:r>
          </w:p>
        </w:tc>
        <w:tc>
          <w:tcPr>
            <w:tcW w:w="4931" w:type="dxa"/>
          </w:tcPr>
          <w:p w14:paraId="33061D51" w14:textId="77777777" w:rsidR="00950255" w:rsidRPr="007C319B" w:rsidRDefault="00950255" w:rsidP="009D2101">
            <w:pPr>
              <w:jc w:val="center"/>
              <w:rPr>
                <w:rFonts w:cstheme="minorHAnsi"/>
                <w:sz w:val="28"/>
              </w:rPr>
            </w:pPr>
            <w:r w:rsidRPr="007C319B">
              <w:rPr>
                <w:rFonts w:cstheme="minorHAnsi"/>
                <w:sz w:val="28"/>
              </w:rPr>
              <w:t>Commentary</w:t>
            </w:r>
          </w:p>
        </w:tc>
        <w:tc>
          <w:tcPr>
            <w:tcW w:w="2551" w:type="dxa"/>
          </w:tcPr>
          <w:p w14:paraId="6D165D1F" w14:textId="4FE881E6" w:rsidR="00950255" w:rsidRPr="007C319B" w:rsidRDefault="002D00DC" w:rsidP="009D2101">
            <w:pPr>
              <w:jc w:val="center"/>
              <w:rPr>
                <w:rFonts w:cstheme="minorHAnsi"/>
                <w:sz w:val="28"/>
              </w:rPr>
            </w:pPr>
            <w:r w:rsidRPr="007C319B">
              <w:rPr>
                <w:rFonts w:cstheme="minorHAnsi"/>
                <w:sz w:val="28"/>
              </w:rPr>
              <w:t>Position</w:t>
            </w:r>
          </w:p>
        </w:tc>
        <w:tc>
          <w:tcPr>
            <w:tcW w:w="1926" w:type="dxa"/>
          </w:tcPr>
          <w:p w14:paraId="0C9F8D89" w14:textId="307EB7D2" w:rsidR="00950255" w:rsidRPr="007C319B" w:rsidRDefault="002D00DC" w:rsidP="009D2101">
            <w:pPr>
              <w:jc w:val="center"/>
              <w:rPr>
                <w:rFonts w:cstheme="minorHAnsi"/>
                <w:sz w:val="28"/>
              </w:rPr>
            </w:pPr>
            <w:r w:rsidRPr="007C319B">
              <w:rPr>
                <w:rFonts w:cstheme="minorHAnsi"/>
                <w:sz w:val="28"/>
              </w:rPr>
              <w:t>Comments</w:t>
            </w:r>
          </w:p>
        </w:tc>
      </w:tr>
      <w:tr w:rsidR="001B4EC8" w14:paraId="14689266" w14:textId="77777777" w:rsidTr="009737E5">
        <w:tc>
          <w:tcPr>
            <w:tcW w:w="1417" w:type="dxa"/>
          </w:tcPr>
          <w:p w14:paraId="4E9F4BA9" w14:textId="285E2872" w:rsidR="001B4EC8" w:rsidRPr="007C319B" w:rsidRDefault="001B4EC8" w:rsidP="001B4EC8">
            <w:pPr>
              <w:rPr>
                <w:rFonts w:cstheme="minorHAnsi"/>
                <w:b/>
                <w:sz w:val="18"/>
              </w:rPr>
            </w:pPr>
            <w:proofErr w:type="spellStart"/>
            <w:r w:rsidRPr="007C319B">
              <w:rPr>
                <w:rFonts w:cstheme="minorHAnsi"/>
                <w:b/>
                <w:sz w:val="18"/>
              </w:rPr>
              <w:t>Tarakihi</w:t>
            </w:r>
            <w:bookmarkStart w:id="0" w:name="_GoBack"/>
            <w:bookmarkEnd w:id="0"/>
            <w:proofErr w:type="spellEnd"/>
          </w:p>
        </w:tc>
        <w:tc>
          <w:tcPr>
            <w:tcW w:w="1135" w:type="dxa"/>
          </w:tcPr>
          <w:p w14:paraId="50265E99" w14:textId="3F426113" w:rsidR="001B4EC8" w:rsidRPr="007C319B" w:rsidRDefault="001B4EC8" w:rsidP="001B4EC8">
            <w:pPr>
              <w:rPr>
                <w:rFonts w:cstheme="minorHAnsi"/>
                <w:sz w:val="18"/>
              </w:rPr>
            </w:pPr>
            <w:r w:rsidRPr="007C319B">
              <w:rPr>
                <w:rFonts w:cstheme="minorHAnsi"/>
                <w:sz w:val="18"/>
              </w:rPr>
              <w:t>EC TAR</w:t>
            </w:r>
          </w:p>
        </w:tc>
        <w:tc>
          <w:tcPr>
            <w:tcW w:w="2866" w:type="dxa"/>
          </w:tcPr>
          <w:p w14:paraId="11846935" w14:textId="77777777" w:rsidR="001B4EC8" w:rsidRPr="007C319B" w:rsidRDefault="001B4EC8" w:rsidP="001B4EC8">
            <w:pPr>
              <w:rPr>
                <w:rFonts w:cstheme="minorHAnsi"/>
                <w:sz w:val="20"/>
              </w:rPr>
            </w:pPr>
            <w:r w:rsidRPr="007C319B">
              <w:rPr>
                <w:rFonts w:cstheme="minorHAnsi"/>
                <w:sz w:val="20"/>
              </w:rPr>
              <w:t>Reduction</w:t>
            </w:r>
          </w:p>
          <w:p w14:paraId="6B07E301" w14:textId="1FC4D2F3" w:rsidR="001B4EC8" w:rsidRPr="007C319B" w:rsidRDefault="001B4EC8" w:rsidP="001B4EC8">
            <w:pPr>
              <w:rPr>
                <w:rFonts w:cstheme="minorHAnsi"/>
                <w:sz w:val="20"/>
              </w:rPr>
            </w:pPr>
            <w:r w:rsidRPr="007C319B">
              <w:rPr>
                <w:rFonts w:cstheme="minorHAnsi"/>
                <w:sz w:val="20"/>
              </w:rPr>
              <w:t>0%31%,35%</w:t>
            </w:r>
          </w:p>
        </w:tc>
        <w:tc>
          <w:tcPr>
            <w:tcW w:w="4931" w:type="dxa"/>
          </w:tcPr>
          <w:p w14:paraId="2FAF485A" w14:textId="58F1C851" w:rsidR="001B4EC8" w:rsidRPr="007C319B" w:rsidRDefault="001B4EC8" w:rsidP="001B4EC8">
            <w:pPr>
              <w:rPr>
                <w:rFonts w:cstheme="minorHAnsi"/>
                <w:sz w:val="20"/>
              </w:rPr>
            </w:pPr>
            <w:r w:rsidRPr="007C319B">
              <w:rPr>
                <w:rFonts w:cstheme="minorHAnsi"/>
                <w:sz w:val="20"/>
              </w:rPr>
              <w:t>28N rights in TAR2. Our Rebuild Plan being included as option in IPP (no TACC change with additional measures). Current catch levels are moving stock toward BMSY as per requirements of the Fisheries Act.</w:t>
            </w:r>
          </w:p>
          <w:p w14:paraId="289C8BE2" w14:textId="64E75719" w:rsidR="001B4EC8" w:rsidRPr="007C319B" w:rsidRDefault="001B4EC8" w:rsidP="001B4EC8">
            <w:pPr>
              <w:rPr>
                <w:rFonts w:cstheme="minorHAnsi"/>
                <w:sz w:val="20"/>
              </w:rPr>
            </w:pPr>
            <w:r w:rsidRPr="007C319B">
              <w:rPr>
                <w:rFonts w:cstheme="minorHAnsi"/>
                <w:sz w:val="20"/>
              </w:rPr>
              <w:t>Options do not portray the actual cut on the east. 35% is actually 50%</w:t>
            </w:r>
          </w:p>
        </w:tc>
        <w:tc>
          <w:tcPr>
            <w:tcW w:w="2551" w:type="dxa"/>
          </w:tcPr>
          <w:p w14:paraId="280DA395" w14:textId="77777777" w:rsidR="001B4EC8" w:rsidRPr="007C319B" w:rsidRDefault="001B4EC8" w:rsidP="001B4EC8">
            <w:pPr>
              <w:rPr>
                <w:rFonts w:cstheme="minorHAnsi"/>
                <w:sz w:val="20"/>
              </w:rPr>
            </w:pPr>
          </w:p>
        </w:tc>
        <w:tc>
          <w:tcPr>
            <w:tcW w:w="1926" w:type="dxa"/>
          </w:tcPr>
          <w:p w14:paraId="18AF33F2" w14:textId="34280B2B" w:rsidR="001B4EC8" w:rsidRPr="007C319B" w:rsidRDefault="001B4EC8" w:rsidP="001B4EC8">
            <w:pPr>
              <w:rPr>
                <w:rFonts w:cstheme="minorHAnsi"/>
                <w:sz w:val="20"/>
              </w:rPr>
            </w:pPr>
          </w:p>
        </w:tc>
      </w:tr>
      <w:tr w:rsidR="001B4EC8" w14:paraId="49510940" w14:textId="77777777" w:rsidTr="009737E5">
        <w:trPr>
          <w:trHeight w:val="483"/>
        </w:trPr>
        <w:tc>
          <w:tcPr>
            <w:tcW w:w="1417" w:type="dxa"/>
          </w:tcPr>
          <w:p w14:paraId="0AC51179" w14:textId="00292B45" w:rsidR="001B4EC8" w:rsidRPr="007C319B" w:rsidRDefault="001B4EC8" w:rsidP="001B4EC8">
            <w:pPr>
              <w:rPr>
                <w:rFonts w:cstheme="minorHAnsi"/>
                <w:b/>
                <w:sz w:val="18"/>
              </w:rPr>
            </w:pPr>
            <w:proofErr w:type="spellStart"/>
            <w:r w:rsidRPr="007C319B">
              <w:rPr>
                <w:rFonts w:cstheme="minorHAnsi"/>
                <w:b/>
                <w:sz w:val="18"/>
              </w:rPr>
              <w:t>Pāua</w:t>
            </w:r>
            <w:proofErr w:type="spellEnd"/>
          </w:p>
        </w:tc>
        <w:tc>
          <w:tcPr>
            <w:tcW w:w="1135" w:type="dxa"/>
          </w:tcPr>
          <w:p w14:paraId="453C0E32" w14:textId="75BB05F0" w:rsidR="001B4EC8" w:rsidRPr="007C319B" w:rsidRDefault="001B4EC8" w:rsidP="001B4EC8">
            <w:pPr>
              <w:rPr>
                <w:rFonts w:cstheme="minorHAnsi"/>
                <w:sz w:val="18"/>
              </w:rPr>
            </w:pPr>
            <w:r w:rsidRPr="007C319B">
              <w:rPr>
                <w:rFonts w:cstheme="minorHAnsi"/>
                <w:sz w:val="18"/>
              </w:rPr>
              <w:t>PAU4</w:t>
            </w:r>
          </w:p>
        </w:tc>
        <w:tc>
          <w:tcPr>
            <w:tcW w:w="2866" w:type="dxa"/>
          </w:tcPr>
          <w:p w14:paraId="359FE040" w14:textId="77777777" w:rsidR="001B4EC8" w:rsidRPr="007C319B" w:rsidRDefault="001B4EC8" w:rsidP="001B4EC8">
            <w:pPr>
              <w:rPr>
                <w:rFonts w:cstheme="minorHAnsi"/>
                <w:b/>
                <w:sz w:val="20"/>
                <w:szCs w:val="20"/>
              </w:rPr>
            </w:pPr>
            <w:r w:rsidRPr="007C319B">
              <w:rPr>
                <w:rFonts w:cstheme="minorHAnsi"/>
                <w:b/>
                <w:sz w:val="20"/>
                <w:szCs w:val="20"/>
              </w:rPr>
              <w:t>Reduction</w:t>
            </w:r>
          </w:p>
          <w:p w14:paraId="516ACD31" w14:textId="77777777" w:rsidR="001B4EC8" w:rsidRPr="007C319B" w:rsidRDefault="001B4EC8" w:rsidP="001B4EC8">
            <w:pPr>
              <w:spacing w:line="259" w:lineRule="auto"/>
              <w:rPr>
                <w:rFonts w:cstheme="minorHAnsi"/>
              </w:rPr>
            </w:pPr>
            <w:r w:rsidRPr="007C319B">
              <w:rPr>
                <w:rFonts w:cstheme="minorHAnsi"/>
                <w:sz w:val="20"/>
                <w:szCs w:val="20"/>
              </w:rPr>
              <w:t>Option 1: Status Quo</w:t>
            </w:r>
          </w:p>
          <w:p w14:paraId="094EB7C2" w14:textId="77777777" w:rsidR="001B4EC8" w:rsidRPr="007C319B" w:rsidRDefault="001B4EC8" w:rsidP="001B4EC8">
            <w:pPr>
              <w:spacing w:line="259" w:lineRule="auto"/>
              <w:rPr>
                <w:rFonts w:cstheme="minorHAnsi"/>
                <w:sz w:val="20"/>
                <w:szCs w:val="20"/>
              </w:rPr>
            </w:pPr>
            <w:r w:rsidRPr="007C319B">
              <w:rPr>
                <w:rFonts w:cstheme="minorHAnsi"/>
                <w:sz w:val="20"/>
                <w:szCs w:val="20"/>
              </w:rPr>
              <w:t>Option 2: TACC10%</w:t>
            </w:r>
          </w:p>
          <w:p w14:paraId="2BEC309F" w14:textId="77777777" w:rsidR="001B4EC8" w:rsidRPr="007C319B" w:rsidRDefault="001B4EC8" w:rsidP="001B4EC8">
            <w:pPr>
              <w:spacing w:line="259" w:lineRule="auto"/>
              <w:rPr>
                <w:rFonts w:cstheme="minorHAnsi"/>
                <w:sz w:val="20"/>
                <w:szCs w:val="20"/>
              </w:rPr>
            </w:pPr>
            <w:r w:rsidRPr="007C319B">
              <w:rPr>
                <w:rFonts w:cstheme="minorHAnsi"/>
                <w:sz w:val="20"/>
                <w:szCs w:val="20"/>
              </w:rPr>
              <w:t>Option 3: TACC 20%</w:t>
            </w:r>
          </w:p>
          <w:p w14:paraId="2BF979B2" w14:textId="1F11FE82" w:rsidR="001B4EC8" w:rsidRPr="007C319B" w:rsidRDefault="001B4EC8" w:rsidP="001B4EC8">
            <w:pPr>
              <w:rPr>
                <w:rFonts w:cstheme="minorHAnsi"/>
                <w:sz w:val="20"/>
              </w:rPr>
            </w:pPr>
            <w:r w:rsidRPr="007C319B">
              <w:rPr>
                <w:rFonts w:cstheme="minorHAnsi"/>
                <w:sz w:val="20"/>
                <w:szCs w:val="20"/>
              </w:rPr>
              <w:t>Option 4: TACC 30%</w:t>
            </w:r>
          </w:p>
        </w:tc>
        <w:tc>
          <w:tcPr>
            <w:tcW w:w="4931" w:type="dxa"/>
          </w:tcPr>
          <w:p w14:paraId="1CBE59DD" w14:textId="62088CB5" w:rsidR="001B4EC8" w:rsidRPr="007C319B" w:rsidRDefault="001B4EC8" w:rsidP="001B4EC8">
            <w:pPr>
              <w:rPr>
                <w:rFonts w:cstheme="minorHAnsi"/>
                <w:sz w:val="20"/>
              </w:rPr>
            </w:pPr>
            <w:r w:rsidRPr="007C319B">
              <w:rPr>
                <w:rFonts w:cstheme="minorHAnsi"/>
                <w:sz w:val="20"/>
              </w:rPr>
              <w:t>28N Rights, Minister has approved PAU4 Plan for shelving (40%)</w:t>
            </w:r>
          </w:p>
        </w:tc>
        <w:tc>
          <w:tcPr>
            <w:tcW w:w="2551" w:type="dxa"/>
          </w:tcPr>
          <w:p w14:paraId="19FD2022" w14:textId="77777777" w:rsidR="001B4EC8" w:rsidRPr="007C319B" w:rsidRDefault="001B4EC8" w:rsidP="001B4EC8">
            <w:pPr>
              <w:rPr>
                <w:rFonts w:cstheme="minorHAnsi"/>
                <w:sz w:val="20"/>
              </w:rPr>
            </w:pPr>
          </w:p>
        </w:tc>
        <w:tc>
          <w:tcPr>
            <w:tcW w:w="1926" w:type="dxa"/>
          </w:tcPr>
          <w:p w14:paraId="4D8A2F9A" w14:textId="7F41328E" w:rsidR="001B4EC8" w:rsidRPr="007C319B" w:rsidRDefault="001B4EC8" w:rsidP="001B4EC8">
            <w:pPr>
              <w:rPr>
                <w:rFonts w:cstheme="minorHAnsi"/>
                <w:sz w:val="20"/>
              </w:rPr>
            </w:pPr>
          </w:p>
        </w:tc>
      </w:tr>
      <w:tr w:rsidR="001B4EC8" w14:paraId="402455C2" w14:textId="77777777" w:rsidTr="009737E5">
        <w:tc>
          <w:tcPr>
            <w:tcW w:w="1417" w:type="dxa"/>
          </w:tcPr>
          <w:p w14:paraId="3CA771D3" w14:textId="0180AE49" w:rsidR="001B4EC8" w:rsidRPr="007C319B" w:rsidRDefault="001B4EC8" w:rsidP="001B4EC8">
            <w:pPr>
              <w:rPr>
                <w:rFonts w:cstheme="minorHAnsi"/>
                <w:b/>
                <w:sz w:val="18"/>
              </w:rPr>
            </w:pPr>
            <w:r w:rsidRPr="007C319B">
              <w:rPr>
                <w:rFonts w:cstheme="minorHAnsi"/>
                <w:b/>
                <w:sz w:val="18"/>
              </w:rPr>
              <w:t>Red snapper</w:t>
            </w:r>
          </w:p>
        </w:tc>
        <w:tc>
          <w:tcPr>
            <w:tcW w:w="1135" w:type="dxa"/>
          </w:tcPr>
          <w:p w14:paraId="7EC67D05" w14:textId="15505023" w:rsidR="001B4EC8" w:rsidRPr="007C319B" w:rsidRDefault="001B4EC8" w:rsidP="001B4EC8">
            <w:pPr>
              <w:rPr>
                <w:rFonts w:cstheme="minorHAnsi"/>
                <w:sz w:val="18"/>
              </w:rPr>
            </w:pPr>
            <w:r w:rsidRPr="007C319B">
              <w:rPr>
                <w:rFonts w:cstheme="minorHAnsi"/>
                <w:sz w:val="18"/>
              </w:rPr>
              <w:t>RSN1+2</w:t>
            </w:r>
          </w:p>
        </w:tc>
        <w:tc>
          <w:tcPr>
            <w:tcW w:w="2866" w:type="dxa"/>
          </w:tcPr>
          <w:p w14:paraId="6EA8D429" w14:textId="77777777" w:rsidR="001B4EC8" w:rsidRPr="007C319B" w:rsidRDefault="001B4EC8" w:rsidP="001B4EC8">
            <w:pPr>
              <w:rPr>
                <w:rFonts w:cstheme="minorHAnsi"/>
                <w:sz w:val="20"/>
              </w:rPr>
            </w:pPr>
            <w:r w:rsidRPr="007C319B">
              <w:rPr>
                <w:rFonts w:cstheme="minorHAnsi"/>
                <w:sz w:val="20"/>
              </w:rPr>
              <w:t>Increase/reallocation</w:t>
            </w:r>
          </w:p>
          <w:p w14:paraId="1FB73310" w14:textId="5DE01B75" w:rsidR="001B4EC8" w:rsidRPr="007C319B" w:rsidRDefault="001B4EC8" w:rsidP="001B4EC8">
            <w:pPr>
              <w:rPr>
                <w:rFonts w:cstheme="minorHAnsi"/>
                <w:sz w:val="20"/>
              </w:rPr>
            </w:pPr>
            <w:r w:rsidRPr="007C319B">
              <w:rPr>
                <w:rFonts w:cstheme="minorHAnsi"/>
                <w:sz w:val="20"/>
              </w:rPr>
              <w:t>Reallocate 60t from RSN1 to RSN2</w:t>
            </w:r>
          </w:p>
        </w:tc>
        <w:tc>
          <w:tcPr>
            <w:tcW w:w="4931" w:type="dxa"/>
          </w:tcPr>
          <w:p w14:paraId="571D0E60" w14:textId="77777777" w:rsidR="001B4EC8" w:rsidRPr="007C319B" w:rsidRDefault="001B4EC8" w:rsidP="001B4EC8">
            <w:pPr>
              <w:rPr>
                <w:rFonts w:cstheme="minorHAnsi"/>
                <w:sz w:val="20"/>
              </w:rPr>
            </w:pPr>
            <w:r w:rsidRPr="007C319B">
              <w:rPr>
                <w:rFonts w:cstheme="minorHAnsi"/>
                <w:sz w:val="20"/>
              </w:rPr>
              <w:t>Information on stock status unknown. Potentially one biological stock</w:t>
            </w:r>
          </w:p>
          <w:p w14:paraId="522EA53C" w14:textId="2AFD89AE" w:rsidR="001B4EC8" w:rsidRPr="007C319B" w:rsidRDefault="001B4EC8" w:rsidP="001B4EC8">
            <w:pPr>
              <w:rPr>
                <w:rFonts w:cstheme="minorHAnsi"/>
                <w:sz w:val="20"/>
              </w:rPr>
            </w:pPr>
            <w:r w:rsidRPr="007C319B">
              <w:rPr>
                <w:rFonts w:cstheme="minorHAnsi"/>
                <w:sz w:val="20"/>
              </w:rPr>
              <w:t xml:space="preserve">Choke species – 60 tonne </w:t>
            </w:r>
            <w:proofErr w:type="gramStart"/>
            <w:r w:rsidRPr="007C319B">
              <w:rPr>
                <w:rFonts w:cstheme="minorHAnsi"/>
                <w:sz w:val="20"/>
              </w:rPr>
              <w:t>reallocation</w:t>
            </w:r>
            <w:proofErr w:type="gramEnd"/>
            <w:r w:rsidRPr="007C319B">
              <w:rPr>
                <w:rFonts w:cstheme="minorHAnsi"/>
                <w:sz w:val="20"/>
              </w:rPr>
              <w:t xml:space="preserve"> would solve deem values from </w:t>
            </w:r>
            <w:proofErr w:type="spellStart"/>
            <w:r w:rsidRPr="007C319B">
              <w:rPr>
                <w:rFonts w:cstheme="minorHAnsi"/>
                <w:sz w:val="20"/>
              </w:rPr>
              <w:t>overcatch</w:t>
            </w:r>
            <w:proofErr w:type="spellEnd"/>
          </w:p>
        </w:tc>
        <w:tc>
          <w:tcPr>
            <w:tcW w:w="2551" w:type="dxa"/>
          </w:tcPr>
          <w:p w14:paraId="5A51B796" w14:textId="77777777" w:rsidR="001B4EC8" w:rsidRPr="007C319B" w:rsidRDefault="001B4EC8" w:rsidP="001B4EC8">
            <w:pPr>
              <w:rPr>
                <w:rFonts w:cstheme="minorHAnsi"/>
                <w:sz w:val="20"/>
              </w:rPr>
            </w:pPr>
          </w:p>
        </w:tc>
        <w:tc>
          <w:tcPr>
            <w:tcW w:w="1926" w:type="dxa"/>
          </w:tcPr>
          <w:p w14:paraId="6285C004" w14:textId="033D6BCC" w:rsidR="001B4EC8" w:rsidRPr="007C319B" w:rsidRDefault="001B4EC8" w:rsidP="001B4EC8">
            <w:pPr>
              <w:rPr>
                <w:rFonts w:cstheme="minorHAnsi"/>
                <w:sz w:val="20"/>
              </w:rPr>
            </w:pPr>
          </w:p>
        </w:tc>
      </w:tr>
      <w:tr w:rsidR="001B4EC8" w14:paraId="246CDBBF" w14:textId="77777777" w:rsidTr="009737E5">
        <w:tc>
          <w:tcPr>
            <w:tcW w:w="1417" w:type="dxa"/>
          </w:tcPr>
          <w:p w14:paraId="19596517" w14:textId="533D4ED8" w:rsidR="001B4EC8" w:rsidRPr="007C319B" w:rsidRDefault="001B4EC8" w:rsidP="001B4EC8">
            <w:pPr>
              <w:rPr>
                <w:rFonts w:cstheme="minorHAnsi"/>
                <w:b/>
                <w:sz w:val="18"/>
              </w:rPr>
            </w:pPr>
            <w:r w:rsidRPr="007C319B">
              <w:rPr>
                <w:rFonts w:cstheme="minorHAnsi"/>
                <w:b/>
                <w:sz w:val="18"/>
              </w:rPr>
              <w:t>Kina</w:t>
            </w:r>
          </w:p>
        </w:tc>
        <w:tc>
          <w:tcPr>
            <w:tcW w:w="1135" w:type="dxa"/>
          </w:tcPr>
          <w:p w14:paraId="1587DCC1" w14:textId="0303C20E" w:rsidR="001B4EC8" w:rsidRPr="007C319B" w:rsidRDefault="001B4EC8" w:rsidP="001B4EC8">
            <w:pPr>
              <w:rPr>
                <w:rFonts w:cstheme="minorHAnsi"/>
                <w:sz w:val="18"/>
              </w:rPr>
            </w:pPr>
            <w:r w:rsidRPr="007C319B">
              <w:rPr>
                <w:rFonts w:cstheme="minorHAnsi"/>
                <w:sz w:val="18"/>
              </w:rPr>
              <w:t>SUR1A,1B</w:t>
            </w:r>
          </w:p>
        </w:tc>
        <w:tc>
          <w:tcPr>
            <w:tcW w:w="2866" w:type="dxa"/>
          </w:tcPr>
          <w:p w14:paraId="49C6DE46" w14:textId="77777777" w:rsidR="001B4EC8" w:rsidRPr="007C319B" w:rsidRDefault="001B4EC8" w:rsidP="001B4EC8">
            <w:pPr>
              <w:rPr>
                <w:rFonts w:cstheme="minorHAnsi"/>
                <w:b/>
                <w:sz w:val="20"/>
                <w:szCs w:val="20"/>
              </w:rPr>
            </w:pPr>
            <w:r w:rsidRPr="007C319B">
              <w:rPr>
                <w:rFonts w:cstheme="minorHAnsi"/>
                <w:b/>
                <w:sz w:val="20"/>
                <w:szCs w:val="20"/>
              </w:rPr>
              <w:t>Increase</w:t>
            </w:r>
          </w:p>
          <w:p w14:paraId="6D49F613" w14:textId="77777777" w:rsidR="001B4EC8" w:rsidRPr="007C319B" w:rsidRDefault="001B4EC8" w:rsidP="001B4EC8">
            <w:pPr>
              <w:rPr>
                <w:rFonts w:cstheme="minorHAnsi"/>
                <w:sz w:val="20"/>
                <w:szCs w:val="20"/>
              </w:rPr>
            </w:pPr>
            <w:r w:rsidRPr="007C319B">
              <w:rPr>
                <w:rFonts w:cstheme="minorHAnsi"/>
                <w:sz w:val="20"/>
                <w:szCs w:val="20"/>
              </w:rPr>
              <w:t xml:space="preserve">Option 1: Maintain Status Quo OR </w:t>
            </w:r>
            <w:r w:rsidRPr="007C319B">
              <w:rPr>
                <w:rFonts w:cstheme="minorHAnsi"/>
              </w:rPr>
              <w:br/>
            </w:r>
            <w:r w:rsidRPr="007C319B">
              <w:rPr>
                <w:rFonts w:cstheme="minorHAnsi"/>
                <w:sz w:val="20"/>
                <w:szCs w:val="20"/>
              </w:rPr>
              <w:t>Option 2: Increase TAC and all sectors by</w:t>
            </w:r>
          </w:p>
          <w:p w14:paraId="49721E27" w14:textId="77777777" w:rsidR="001B4EC8" w:rsidRPr="007C319B" w:rsidRDefault="001B4EC8" w:rsidP="001B4EC8">
            <w:pPr>
              <w:rPr>
                <w:rFonts w:cstheme="minorHAnsi"/>
                <w:sz w:val="20"/>
                <w:szCs w:val="20"/>
              </w:rPr>
            </w:pPr>
            <w:r w:rsidRPr="007C319B">
              <w:rPr>
                <w:rFonts w:cstheme="minorHAnsi"/>
                <w:sz w:val="20"/>
                <w:szCs w:val="20"/>
              </w:rPr>
              <w:t>20% OR</w:t>
            </w:r>
          </w:p>
          <w:p w14:paraId="39FBA3B2" w14:textId="77777777" w:rsidR="001B4EC8" w:rsidRPr="007C319B" w:rsidRDefault="001B4EC8" w:rsidP="001B4EC8">
            <w:pPr>
              <w:rPr>
                <w:rFonts w:cstheme="minorHAnsi"/>
                <w:sz w:val="20"/>
                <w:szCs w:val="20"/>
              </w:rPr>
            </w:pPr>
            <w:r w:rsidRPr="007C319B">
              <w:rPr>
                <w:rFonts w:cstheme="minorHAnsi"/>
                <w:sz w:val="20"/>
                <w:szCs w:val="20"/>
              </w:rPr>
              <w:t xml:space="preserve">Option </w:t>
            </w:r>
            <w:r w:rsidRPr="007C319B">
              <w:rPr>
                <w:rFonts w:cstheme="minorHAnsi"/>
                <w:sz w:val="20"/>
              </w:rPr>
              <w:t>3</w:t>
            </w:r>
            <w:r w:rsidRPr="007C319B">
              <w:rPr>
                <w:rFonts w:cstheme="minorHAnsi"/>
                <w:sz w:val="20"/>
                <w:szCs w:val="20"/>
              </w:rPr>
              <w:t>: Increase TAC and all sectors by</w:t>
            </w:r>
          </w:p>
          <w:p w14:paraId="182C90D6" w14:textId="05C3C23A" w:rsidR="001B4EC8" w:rsidRPr="007C319B" w:rsidRDefault="001B4EC8" w:rsidP="001B4EC8">
            <w:pPr>
              <w:rPr>
                <w:rFonts w:cstheme="minorHAnsi"/>
                <w:sz w:val="20"/>
              </w:rPr>
            </w:pPr>
            <w:r w:rsidRPr="007C319B">
              <w:rPr>
                <w:rFonts w:cstheme="minorHAnsi"/>
                <w:sz w:val="20"/>
              </w:rPr>
              <w:t>50%</w:t>
            </w:r>
          </w:p>
        </w:tc>
        <w:tc>
          <w:tcPr>
            <w:tcW w:w="4931" w:type="dxa"/>
          </w:tcPr>
          <w:p w14:paraId="00BD287B" w14:textId="3AA26DF6" w:rsidR="001B4EC8" w:rsidRPr="007C319B" w:rsidRDefault="001B4EC8" w:rsidP="001B4EC8">
            <w:pPr>
              <w:rPr>
                <w:rFonts w:cstheme="minorHAnsi"/>
                <w:sz w:val="20"/>
              </w:rPr>
            </w:pPr>
            <w:r w:rsidRPr="007C319B">
              <w:rPr>
                <w:rFonts w:cstheme="minorHAnsi"/>
                <w:sz w:val="20"/>
              </w:rPr>
              <w:t xml:space="preserve">21 </w:t>
            </w:r>
            <w:proofErr w:type="gramStart"/>
            <w:r w:rsidRPr="007C319B">
              <w:rPr>
                <w:rFonts w:cstheme="minorHAnsi"/>
                <w:sz w:val="20"/>
              </w:rPr>
              <w:t>iwi</w:t>
            </w:r>
            <w:proofErr w:type="gramEnd"/>
            <w:r w:rsidRPr="007C319B">
              <w:rPr>
                <w:rFonts w:cstheme="minorHAnsi"/>
                <w:sz w:val="20"/>
              </w:rPr>
              <w:t xml:space="preserve"> in the QMA, important kai species and taonga. One quota owner owns majority of quota 20% iwi owned. 2 non settlement quota owners. </w:t>
            </w:r>
          </w:p>
        </w:tc>
        <w:tc>
          <w:tcPr>
            <w:tcW w:w="2551" w:type="dxa"/>
          </w:tcPr>
          <w:p w14:paraId="7968DF56" w14:textId="1FCCCF19" w:rsidR="001B4EC8" w:rsidRPr="007C319B" w:rsidRDefault="001B4EC8" w:rsidP="001B4EC8">
            <w:pPr>
              <w:rPr>
                <w:rFonts w:cstheme="minorHAnsi"/>
                <w:sz w:val="20"/>
              </w:rPr>
            </w:pPr>
          </w:p>
        </w:tc>
        <w:tc>
          <w:tcPr>
            <w:tcW w:w="1926" w:type="dxa"/>
          </w:tcPr>
          <w:p w14:paraId="73C695C7" w14:textId="665D2E79" w:rsidR="001B4EC8" w:rsidRPr="007C319B" w:rsidRDefault="001B4EC8" w:rsidP="001B4EC8">
            <w:pPr>
              <w:rPr>
                <w:rFonts w:cstheme="minorHAnsi"/>
                <w:sz w:val="20"/>
              </w:rPr>
            </w:pPr>
          </w:p>
        </w:tc>
      </w:tr>
      <w:tr w:rsidR="001B4EC8" w14:paraId="0EFA5894" w14:textId="77777777" w:rsidTr="009737E5">
        <w:tc>
          <w:tcPr>
            <w:tcW w:w="1417" w:type="dxa"/>
          </w:tcPr>
          <w:p w14:paraId="7F36F557" w14:textId="6111E77A" w:rsidR="001B4EC8" w:rsidRPr="007C319B" w:rsidRDefault="001B4EC8" w:rsidP="001B4EC8">
            <w:pPr>
              <w:rPr>
                <w:rFonts w:cstheme="minorHAnsi"/>
                <w:b/>
                <w:sz w:val="18"/>
              </w:rPr>
            </w:pPr>
            <w:proofErr w:type="spellStart"/>
            <w:r w:rsidRPr="007C319B">
              <w:rPr>
                <w:rFonts w:cstheme="minorHAnsi"/>
                <w:b/>
                <w:sz w:val="18"/>
              </w:rPr>
              <w:t>Hoki</w:t>
            </w:r>
            <w:proofErr w:type="spellEnd"/>
          </w:p>
        </w:tc>
        <w:tc>
          <w:tcPr>
            <w:tcW w:w="1135" w:type="dxa"/>
          </w:tcPr>
          <w:p w14:paraId="7A6F0B54" w14:textId="5FF8A22C" w:rsidR="001B4EC8" w:rsidRPr="007C319B" w:rsidRDefault="001B4EC8" w:rsidP="001B4EC8">
            <w:pPr>
              <w:rPr>
                <w:rFonts w:cstheme="minorHAnsi"/>
                <w:sz w:val="18"/>
              </w:rPr>
            </w:pPr>
            <w:r w:rsidRPr="007C319B">
              <w:rPr>
                <w:rFonts w:cstheme="minorHAnsi"/>
                <w:sz w:val="18"/>
              </w:rPr>
              <w:t>HOK1</w:t>
            </w:r>
          </w:p>
        </w:tc>
        <w:tc>
          <w:tcPr>
            <w:tcW w:w="2866" w:type="dxa"/>
          </w:tcPr>
          <w:p w14:paraId="6AFFA345" w14:textId="77777777" w:rsidR="001B4EC8" w:rsidRPr="007C319B" w:rsidRDefault="001B4EC8" w:rsidP="001B4EC8">
            <w:pPr>
              <w:rPr>
                <w:rFonts w:cstheme="minorHAnsi"/>
                <w:b/>
                <w:sz w:val="20"/>
                <w:szCs w:val="20"/>
              </w:rPr>
            </w:pPr>
            <w:r w:rsidRPr="007C319B">
              <w:rPr>
                <w:rFonts w:cstheme="minorHAnsi"/>
                <w:b/>
                <w:sz w:val="20"/>
                <w:szCs w:val="20"/>
              </w:rPr>
              <w:t>Reduction</w:t>
            </w:r>
          </w:p>
          <w:p w14:paraId="6C2773E4" w14:textId="77777777" w:rsidR="001B4EC8" w:rsidRPr="007C319B" w:rsidRDefault="001B4EC8" w:rsidP="001B4EC8">
            <w:pPr>
              <w:rPr>
                <w:rFonts w:cstheme="minorHAnsi"/>
                <w:sz w:val="20"/>
                <w:szCs w:val="20"/>
              </w:rPr>
            </w:pPr>
            <w:r w:rsidRPr="007C319B">
              <w:rPr>
                <w:rFonts w:cstheme="minorHAnsi"/>
                <w:sz w:val="20"/>
                <w:szCs w:val="20"/>
              </w:rPr>
              <w:t>Option 1: TAC 13%</w:t>
            </w:r>
          </w:p>
          <w:p w14:paraId="4095EC56" w14:textId="77777777" w:rsidR="001B4EC8" w:rsidRPr="007C319B" w:rsidRDefault="001B4EC8" w:rsidP="001B4EC8">
            <w:pPr>
              <w:rPr>
                <w:rFonts w:cstheme="minorHAnsi"/>
                <w:sz w:val="20"/>
                <w:szCs w:val="20"/>
              </w:rPr>
            </w:pPr>
            <w:r w:rsidRPr="007C319B">
              <w:rPr>
                <w:rFonts w:cstheme="minorHAnsi"/>
                <w:sz w:val="20"/>
                <w:szCs w:val="20"/>
              </w:rPr>
              <w:t>Western Stock: 22%</w:t>
            </w:r>
          </w:p>
          <w:p w14:paraId="5298787B" w14:textId="77777777" w:rsidR="001B4EC8" w:rsidRPr="007C319B" w:rsidRDefault="001B4EC8" w:rsidP="001B4EC8">
            <w:pPr>
              <w:rPr>
                <w:rFonts w:cstheme="minorHAnsi"/>
                <w:sz w:val="20"/>
                <w:szCs w:val="20"/>
              </w:rPr>
            </w:pPr>
            <w:r w:rsidRPr="007C319B">
              <w:rPr>
                <w:rFonts w:cstheme="minorHAnsi"/>
                <w:sz w:val="20"/>
                <w:szCs w:val="20"/>
              </w:rPr>
              <w:t>Option 2: TAC 20%</w:t>
            </w:r>
          </w:p>
          <w:p w14:paraId="1112981E" w14:textId="3E52ED56" w:rsidR="001B4EC8" w:rsidRPr="007C319B" w:rsidRDefault="001B4EC8" w:rsidP="001B4EC8">
            <w:pPr>
              <w:rPr>
                <w:rFonts w:cstheme="minorHAnsi"/>
                <w:sz w:val="20"/>
              </w:rPr>
            </w:pPr>
            <w:r w:rsidRPr="007C319B">
              <w:rPr>
                <w:rFonts w:cstheme="minorHAnsi"/>
                <w:sz w:val="20"/>
                <w:szCs w:val="20"/>
              </w:rPr>
              <w:lastRenderedPageBreak/>
              <w:t>Western Stock 33%</w:t>
            </w:r>
          </w:p>
        </w:tc>
        <w:tc>
          <w:tcPr>
            <w:tcW w:w="4931" w:type="dxa"/>
          </w:tcPr>
          <w:p w14:paraId="720F835C" w14:textId="77777777" w:rsidR="001B4EC8" w:rsidRPr="007C319B" w:rsidRDefault="001B4EC8" w:rsidP="001B4EC8">
            <w:pPr>
              <w:rPr>
                <w:rFonts w:cstheme="minorHAnsi"/>
                <w:sz w:val="20"/>
              </w:rPr>
            </w:pPr>
            <w:r w:rsidRPr="007C319B">
              <w:rPr>
                <w:rFonts w:cstheme="minorHAnsi"/>
                <w:sz w:val="20"/>
              </w:rPr>
              <w:lastRenderedPageBreak/>
              <w:t xml:space="preserve">Shelving in place, stock assessment </w:t>
            </w:r>
            <w:proofErr w:type="gramStart"/>
            <w:r w:rsidRPr="007C319B">
              <w:rPr>
                <w:rFonts w:cstheme="minorHAnsi"/>
                <w:sz w:val="20"/>
              </w:rPr>
              <w:t>update</w:t>
            </w:r>
            <w:proofErr w:type="gramEnd"/>
            <w:r w:rsidRPr="007C319B">
              <w:rPr>
                <w:rFonts w:cstheme="minorHAnsi"/>
                <w:sz w:val="20"/>
              </w:rPr>
              <w:t xml:space="preserve"> this year. Stock assessments vary (either B</w:t>
            </w:r>
            <w:r w:rsidRPr="007C319B">
              <w:rPr>
                <w:rFonts w:cstheme="minorHAnsi"/>
                <w:sz w:val="20"/>
                <w:vertAlign w:val="subscript"/>
              </w:rPr>
              <w:t>0</w:t>
            </w:r>
            <w:r w:rsidRPr="007C319B">
              <w:rPr>
                <w:rFonts w:cstheme="minorHAnsi"/>
                <w:sz w:val="20"/>
              </w:rPr>
              <w:t>= 29% or B</w:t>
            </w:r>
            <w:r w:rsidRPr="007C319B">
              <w:rPr>
                <w:rFonts w:cstheme="minorHAnsi"/>
                <w:sz w:val="20"/>
                <w:vertAlign w:val="subscript"/>
              </w:rPr>
              <w:t>0</w:t>
            </w:r>
            <w:r w:rsidRPr="007C319B">
              <w:rPr>
                <w:rFonts w:cstheme="minorHAnsi"/>
                <w:sz w:val="20"/>
              </w:rPr>
              <w:t>=56%), FNZ using the pessimistic one. Proposing a cut on the West (splitting East and West is a measure conducted by industry, technically only HOK1 ACE exists).</w:t>
            </w:r>
          </w:p>
          <w:p w14:paraId="11628175" w14:textId="578E0D2B" w:rsidR="001B4EC8" w:rsidRPr="007C319B" w:rsidRDefault="001B4EC8" w:rsidP="001B4EC8">
            <w:pPr>
              <w:rPr>
                <w:rFonts w:cstheme="minorHAnsi"/>
                <w:sz w:val="20"/>
              </w:rPr>
            </w:pPr>
            <w:r w:rsidRPr="007C319B">
              <w:rPr>
                <w:rFonts w:cstheme="minorHAnsi"/>
                <w:sz w:val="20"/>
              </w:rPr>
              <w:t xml:space="preserve">FNZ propose that shelving in place of a TACC change may have effect on HOK1 MSC certification. </w:t>
            </w:r>
          </w:p>
        </w:tc>
        <w:tc>
          <w:tcPr>
            <w:tcW w:w="2551" w:type="dxa"/>
          </w:tcPr>
          <w:p w14:paraId="50329D58" w14:textId="0101F599" w:rsidR="001B4EC8" w:rsidRPr="007C319B" w:rsidRDefault="001B4EC8" w:rsidP="001B4EC8">
            <w:pPr>
              <w:rPr>
                <w:rFonts w:cstheme="minorHAnsi"/>
                <w:sz w:val="20"/>
              </w:rPr>
            </w:pPr>
          </w:p>
        </w:tc>
        <w:tc>
          <w:tcPr>
            <w:tcW w:w="1926" w:type="dxa"/>
          </w:tcPr>
          <w:p w14:paraId="0B0D0EB8" w14:textId="0F31B539" w:rsidR="001B4EC8" w:rsidRPr="007C319B" w:rsidRDefault="001B4EC8" w:rsidP="001B4EC8">
            <w:pPr>
              <w:rPr>
                <w:rFonts w:cstheme="minorHAnsi"/>
                <w:sz w:val="20"/>
              </w:rPr>
            </w:pPr>
          </w:p>
        </w:tc>
      </w:tr>
      <w:tr w:rsidR="001B4EC8" w14:paraId="5846237A" w14:textId="77777777" w:rsidTr="009737E5">
        <w:trPr>
          <w:trHeight w:val="391"/>
        </w:trPr>
        <w:tc>
          <w:tcPr>
            <w:tcW w:w="1417" w:type="dxa"/>
          </w:tcPr>
          <w:p w14:paraId="3BEAA4FE" w14:textId="41177491" w:rsidR="001B4EC8" w:rsidRPr="007C319B" w:rsidRDefault="001B4EC8" w:rsidP="001B4EC8">
            <w:pPr>
              <w:rPr>
                <w:rFonts w:cstheme="minorHAnsi"/>
                <w:b/>
                <w:sz w:val="18"/>
              </w:rPr>
            </w:pPr>
            <w:r w:rsidRPr="007C319B">
              <w:rPr>
                <w:rFonts w:cstheme="minorHAnsi"/>
                <w:b/>
                <w:sz w:val="18"/>
              </w:rPr>
              <w:t>Orange roughy</w:t>
            </w:r>
          </w:p>
        </w:tc>
        <w:tc>
          <w:tcPr>
            <w:tcW w:w="1135" w:type="dxa"/>
          </w:tcPr>
          <w:p w14:paraId="33C87054" w14:textId="0DC273A4" w:rsidR="001B4EC8" w:rsidRPr="007C319B" w:rsidRDefault="001B4EC8" w:rsidP="001B4EC8">
            <w:pPr>
              <w:rPr>
                <w:rFonts w:cstheme="minorHAnsi"/>
                <w:sz w:val="18"/>
              </w:rPr>
            </w:pPr>
            <w:r w:rsidRPr="007C319B">
              <w:rPr>
                <w:rFonts w:cstheme="minorHAnsi"/>
                <w:sz w:val="18"/>
              </w:rPr>
              <w:t>(ORH3B)</w:t>
            </w:r>
          </w:p>
        </w:tc>
        <w:tc>
          <w:tcPr>
            <w:tcW w:w="2866" w:type="dxa"/>
          </w:tcPr>
          <w:p w14:paraId="3FAC7F63" w14:textId="77777777" w:rsidR="001B4EC8" w:rsidRPr="007C319B" w:rsidRDefault="001B4EC8" w:rsidP="001B4EC8">
            <w:pPr>
              <w:rPr>
                <w:rFonts w:cstheme="minorHAnsi"/>
                <w:b/>
                <w:bCs/>
                <w:sz w:val="20"/>
                <w:szCs w:val="20"/>
              </w:rPr>
            </w:pPr>
            <w:r w:rsidRPr="007C319B">
              <w:rPr>
                <w:rFonts w:cstheme="minorHAnsi"/>
                <w:b/>
                <w:bCs/>
                <w:sz w:val="20"/>
                <w:szCs w:val="20"/>
              </w:rPr>
              <w:t>Increase</w:t>
            </w:r>
          </w:p>
          <w:p w14:paraId="579FE0E4" w14:textId="77777777" w:rsidR="001B4EC8" w:rsidRPr="007C319B" w:rsidRDefault="001B4EC8" w:rsidP="001B4EC8">
            <w:pPr>
              <w:rPr>
                <w:rFonts w:cstheme="minorHAnsi"/>
                <w:b/>
                <w:bCs/>
                <w:sz w:val="20"/>
                <w:szCs w:val="20"/>
              </w:rPr>
            </w:pPr>
            <w:r w:rsidRPr="007C319B">
              <w:rPr>
                <w:rFonts w:cstheme="minorHAnsi"/>
                <w:sz w:val="20"/>
                <w:szCs w:val="20"/>
              </w:rPr>
              <w:t>Proposed adjustment to TAC, TACC</w:t>
            </w:r>
            <w:r w:rsidRPr="007C319B">
              <w:rPr>
                <w:rFonts w:cstheme="minorHAnsi"/>
                <w:b/>
                <w:bCs/>
                <w:sz w:val="20"/>
                <w:szCs w:val="20"/>
              </w:rPr>
              <w:t xml:space="preserve"> </w:t>
            </w:r>
            <w:r w:rsidRPr="007C319B">
              <w:rPr>
                <w:rFonts w:cstheme="minorHAnsi"/>
                <w:sz w:val="20"/>
                <w:szCs w:val="20"/>
              </w:rPr>
              <w:t>amongst sub QMA areas.</w:t>
            </w:r>
          </w:p>
          <w:p w14:paraId="2B836232" w14:textId="77777777" w:rsidR="001B4EC8" w:rsidRPr="007C319B" w:rsidRDefault="001B4EC8" w:rsidP="001B4EC8">
            <w:pPr>
              <w:rPr>
                <w:rFonts w:cstheme="minorHAnsi"/>
                <w:sz w:val="20"/>
                <w:szCs w:val="20"/>
              </w:rPr>
            </w:pPr>
            <w:r w:rsidRPr="007C319B">
              <w:rPr>
                <w:rFonts w:cstheme="minorHAnsi"/>
                <w:sz w:val="20"/>
                <w:szCs w:val="20"/>
              </w:rPr>
              <w:t xml:space="preserve">Year </w:t>
            </w:r>
            <w:proofErr w:type="gramStart"/>
            <w:r w:rsidRPr="007C319B">
              <w:rPr>
                <w:rFonts w:cstheme="minorHAnsi"/>
                <w:sz w:val="20"/>
                <w:szCs w:val="20"/>
              </w:rPr>
              <w:t>2 :</w:t>
            </w:r>
            <w:proofErr w:type="gramEnd"/>
            <w:r w:rsidRPr="007C319B">
              <w:rPr>
                <w:rFonts w:cstheme="minorHAnsi"/>
                <w:sz w:val="20"/>
                <w:szCs w:val="20"/>
              </w:rPr>
              <w:t>~10%</w:t>
            </w:r>
          </w:p>
          <w:p w14:paraId="6A5AEA0F" w14:textId="77777777" w:rsidR="001B4EC8" w:rsidRPr="007C319B" w:rsidRDefault="001B4EC8" w:rsidP="001B4EC8">
            <w:pPr>
              <w:rPr>
                <w:rFonts w:cstheme="minorHAnsi"/>
                <w:sz w:val="20"/>
                <w:szCs w:val="20"/>
              </w:rPr>
            </w:pPr>
          </w:p>
          <w:p w14:paraId="3CD22FBF" w14:textId="77777777" w:rsidR="001B4EC8" w:rsidRPr="007C319B" w:rsidRDefault="001B4EC8" w:rsidP="001B4EC8">
            <w:pPr>
              <w:rPr>
                <w:rFonts w:cstheme="minorHAnsi"/>
                <w:b/>
                <w:bCs/>
                <w:sz w:val="20"/>
                <w:szCs w:val="20"/>
              </w:rPr>
            </w:pPr>
            <w:r w:rsidRPr="007C319B">
              <w:rPr>
                <w:rFonts w:cstheme="minorHAnsi"/>
                <w:sz w:val="20"/>
                <w:szCs w:val="20"/>
              </w:rPr>
              <w:t xml:space="preserve">East and South Chatham Rise.  </w:t>
            </w:r>
          </w:p>
          <w:p w14:paraId="667E743F" w14:textId="77777777" w:rsidR="001B4EC8" w:rsidRPr="007C319B" w:rsidRDefault="001B4EC8" w:rsidP="001B4EC8">
            <w:pPr>
              <w:rPr>
                <w:rFonts w:cstheme="minorHAnsi"/>
                <w:sz w:val="20"/>
                <w:szCs w:val="20"/>
              </w:rPr>
            </w:pPr>
            <w:r w:rsidRPr="007C319B">
              <w:rPr>
                <w:rFonts w:cstheme="minorHAnsi"/>
                <w:sz w:val="20"/>
                <w:szCs w:val="20"/>
              </w:rPr>
              <w:t xml:space="preserve">Year </w:t>
            </w:r>
            <w:proofErr w:type="gramStart"/>
            <w:r w:rsidRPr="007C319B">
              <w:rPr>
                <w:rFonts w:cstheme="minorHAnsi"/>
                <w:sz w:val="20"/>
                <w:szCs w:val="20"/>
              </w:rPr>
              <w:t>2 :</w:t>
            </w:r>
            <w:proofErr w:type="gramEnd"/>
            <w:r w:rsidRPr="007C319B">
              <w:rPr>
                <w:rFonts w:cstheme="minorHAnsi"/>
                <w:sz w:val="20"/>
                <w:szCs w:val="20"/>
              </w:rPr>
              <w:t>~15%</w:t>
            </w:r>
          </w:p>
          <w:p w14:paraId="2B8A0801" w14:textId="1C3E8821" w:rsidR="001B4EC8" w:rsidRPr="007C319B" w:rsidRDefault="001B4EC8" w:rsidP="001B4EC8">
            <w:pPr>
              <w:rPr>
                <w:rFonts w:cstheme="minorHAnsi"/>
                <w:sz w:val="20"/>
              </w:rPr>
            </w:pPr>
            <w:r w:rsidRPr="007C319B">
              <w:rPr>
                <w:rFonts w:cstheme="minorHAnsi"/>
                <w:sz w:val="20"/>
                <w:szCs w:val="20"/>
              </w:rPr>
              <w:t xml:space="preserve">Year 3: ~17% </w:t>
            </w:r>
          </w:p>
        </w:tc>
        <w:tc>
          <w:tcPr>
            <w:tcW w:w="4931" w:type="dxa"/>
          </w:tcPr>
          <w:p w14:paraId="6961DEC2" w14:textId="23A6DAB0" w:rsidR="001B4EC8" w:rsidRPr="007C319B" w:rsidRDefault="001B4EC8" w:rsidP="001B4EC8">
            <w:pPr>
              <w:rPr>
                <w:rFonts w:cstheme="minorHAnsi"/>
                <w:sz w:val="20"/>
              </w:rPr>
            </w:pPr>
            <w:r w:rsidRPr="007C319B">
              <w:rPr>
                <w:rFonts w:cstheme="minorHAnsi"/>
                <w:sz w:val="20"/>
              </w:rPr>
              <w:t>Management procedure 2018 generous increase, half taken precautionarily. Other half this year</w:t>
            </w:r>
          </w:p>
        </w:tc>
        <w:tc>
          <w:tcPr>
            <w:tcW w:w="2551" w:type="dxa"/>
          </w:tcPr>
          <w:p w14:paraId="11E1B3A8" w14:textId="77777777" w:rsidR="001B4EC8" w:rsidRPr="007C319B" w:rsidRDefault="001B4EC8" w:rsidP="001B4EC8">
            <w:pPr>
              <w:rPr>
                <w:rFonts w:cstheme="minorHAnsi"/>
                <w:sz w:val="20"/>
              </w:rPr>
            </w:pPr>
          </w:p>
        </w:tc>
        <w:tc>
          <w:tcPr>
            <w:tcW w:w="1926" w:type="dxa"/>
          </w:tcPr>
          <w:p w14:paraId="6AABB4DB" w14:textId="4337904D" w:rsidR="001B4EC8" w:rsidRPr="007C319B" w:rsidRDefault="001B4EC8" w:rsidP="001B4EC8">
            <w:pPr>
              <w:rPr>
                <w:rFonts w:cstheme="minorHAnsi"/>
                <w:sz w:val="20"/>
              </w:rPr>
            </w:pPr>
          </w:p>
        </w:tc>
      </w:tr>
      <w:tr w:rsidR="001B4EC8" w14:paraId="58E4929A" w14:textId="77777777" w:rsidTr="009737E5">
        <w:tc>
          <w:tcPr>
            <w:tcW w:w="1417" w:type="dxa"/>
          </w:tcPr>
          <w:p w14:paraId="15CBEB12" w14:textId="662CFF00" w:rsidR="001B4EC8" w:rsidRPr="007C319B" w:rsidRDefault="001B4EC8" w:rsidP="001B4EC8">
            <w:pPr>
              <w:rPr>
                <w:rFonts w:cstheme="minorHAnsi"/>
                <w:b/>
                <w:sz w:val="18"/>
              </w:rPr>
            </w:pPr>
            <w:r w:rsidRPr="007C319B">
              <w:rPr>
                <w:rFonts w:cstheme="minorHAnsi"/>
                <w:b/>
                <w:sz w:val="18"/>
              </w:rPr>
              <w:t>Orange roughy</w:t>
            </w:r>
          </w:p>
        </w:tc>
        <w:tc>
          <w:tcPr>
            <w:tcW w:w="1135" w:type="dxa"/>
          </w:tcPr>
          <w:p w14:paraId="4B05CCA8" w14:textId="0D316CEA" w:rsidR="001B4EC8" w:rsidRPr="007C319B" w:rsidRDefault="001B4EC8" w:rsidP="001B4EC8">
            <w:pPr>
              <w:rPr>
                <w:rFonts w:cstheme="minorHAnsi"/>
                <w:sz w:val="18"/>
              </w:rPr>
            </w:pPr>
            <w:r w:rsidRPr="007C319B">
              <w:rPr>
                <w:rFonts w:cstheme="minorHAnsi"/>
                <w:sz w:val="18"/>
              </w:rPr>
              <w:t>(ORH7A)</w:t>
            </w:r>
          </w:p>
        </w:tc>
        <w:tc>
          <w:tcPr>
            <w:tcW w:w="2866" w:type="dxa"/>
          </w:tcPr>
          <w:p w14:paraId="609D07D9" w14:textId="77777777" w:rsidR="001B4EC8" w:rsidRPr="007C319B" w:rsidRDefault="001B4EC8" w:rsidP="001B4EC8">
            <w:pPr>
              <w:spacing w:line="259" w:lineRule="auto"/>
              <w:rPr>
                <w:rFonts w:cstheme="minorHAnsi"/>
                <w:b/>
                <w:bCs/>
                <w:sz w:val="20"/>
                <w:szCs w:val="20"/>
              </w:rPr>
            </w:pPr>
            <w:r w:rsidRPr="007C319B">
              <w:rPr>
                <w:rFonts w:cstheme="minorHAnsi"/>
                <w:b/>
                <w:sz w:val="20"/>
                <w:szCs w:val="20"/>
              </w:rPr>
              <w:t>Increase</w:t>
            </w:r>
          </w:p>
          <w:p w14:paraId="0342E9FA" w14:textId="77777777" w:rsidR="001B4EC8" w:rsidRPr="007C319B" w:rsidRDefault="001B4EC8" w:rsidP="001B4EC8">
            <w:pPr>
              <w:spacing w:line="259" w:lineRule="auto"/>
              <w:rPr>
                <w:rFonts w:cstheme="minorHAnsi"/>
              </w:rPr>
            </w:pPr>
            <w:r w:rsidRPr="007C319B">
              <w:rPr>
                <w:rFonts w:cstheme="minorHAnsi"/>
                <w:sz w:val="20"/>
                <w:szCs w:val="20"/>
              </w:rPr>
              <w:t>Option 1: Status Quo</w:t>
            </w:r>
          </w:p>
          <w:p w14:paraId="3916BCA4" w14:textId="77777777" w:rsidR="001B4EC8" w:rsidRPr="007C319B" w:rsidRDefault="001B4EC8" w:rsidP="001B4EC8">
            <w:pPr>
              <w:spacing w:line="259" w:lineRule="auto"/>
              <w:rPr>
                <w:rFonts w:cstheme="minorHAnsi"/>
                <w:sz w:val="20"/>
                <w:szCs w:val="20"/>
              </w:rPr>
            </w:pPr>
            <w:r w:rsidRPr="007C319B">
              <w:rPr>
                <w:rFonts w:cstheme="minorHAnsi"/>
                <w:sz w:val="20"/>
                <w:szCs w:val="20"/>
              </w:rPr>
              <w:t>Option 2: TACC 29%</w:t>
            </w:r>
          </w:p>
          <w:p w14:paraId="384FA87D" w14:textId="77777777" w:rsidR="001B4EC8" w:rsidRPr="007C319B" w:rsidRDefault="001B4EC8" w:rsidP="001B4EC8">
            <w:pPr>
              <w:spacing w:line="259" w:lineRule="auto"/>
              <w:rPr>
                <w:rFonts w:cstheme="minorHAnsi"/>
                <w:sz w:val="20"/>
                <w:szCs w:val="20"/>
              </w:rPr>
            </w:pPr>
            <w:r w:rsidRPr="007C319B">
              <w:rPr>
                <w:rFonts w:cstheme="minorHAnsi"/>
                <w:sz w:val="20"/>
                <w:szCs w:val="20"/>
              </w:rPr>
              <w:t>Option 3: TACC 38%</w:t>
            </w:r>
          </w:p>
          <w:p w14:paraId="38892EEF" w14:textId="62FF83C6" w:rsidR="001B4EC8" w:rsidRPr="007C319B" w:rsidRDefault="001B4EC8" w:rsidP="001B4EC8">
            <w:pPr>
              <w:rPr>
                <w:rFonts w:cstheme="minorHAnsi"/>
                <w:sz w:val="20"/>
              </w:rPr>
            </w:pPr>
            <w:r w:rsidRPr="007C319B">
              <w:rPr>
                <w:rFonts w:cstheme="minorHAnsi"/>
                <w:sz w:val="20"/>
                <w:szCs w:val="20"/>
              </w:rPr>
              <w:t>Option 4: TACC 52%</w:t>
            </w:r>
          </w:p>
        </w:tc>
        <w:tc>
          <w:tcPr>
            <w:tcW w:w="4931" w:type="dxa"/>
          </w:tcPr>
          <w:p w14:paraId="6E7EC389" w14:textId="77777777" w:rsidR="001B4EC8" w:rsidRPr="007C319B" w:rsidRDefault="001B4EC8" w:rsidP="001B4EC8">
            <w:pPr>
              <w:rPr>
                <w:rFonts w:cstheme="minorHAnsi"/>
                <w:sz w:val="20"/>
              </w:rPr>
            </w:pPr>
            <w:r w:rsidRPr="007C319B">
              <w:rPr>
                <w:rFonts w:cstheme="minorHAnsi"/>
                <w:sz w:val="20"/>
              </w:rPr>
              <w:t>Straddling stock. Stock at 47% (upper range of harvest level).</w:t>
            </w:r>
          </w:p>
          <w:p w14:paraId="01DA61DE" w14:textId="21D93EA7" w:rsidR="001B4EC8" w:rsidRPr="007C319B" w:rsidRDefault="001B4EC8" w:rsidP="001B4EC8">
            <w:pPr>
              <w:rPr>
                <w:rFonts w:cstheme="minorHAnsi"/>
                <w:sz w:val="20"/>
              </w:rPr>
            </w:pPr>
            <w:r w:rsidRPr="007C319B">
              <w:rPr>
                <w:rFonts w:cstheme="minorHAnsi"/>
                <w:sz w:val="20"/>
              </w:rPr>
              <w:t>Increase of 30% would mean no change next year. 38% this year would mean a decrease next year, the same for 50% with a larger decrease. Based on the model predictions and Harvest Control Rule</w:t>
            </w:r>
          </w:p>
        </w:tc>
        <w:tc>
          <w:tcPr>
            <w:tcW w:w="2551" w:type="dxa"/>
          </w:tcPr>
          <w:p w14:paraId="2BF94DE6" w14:textId="77777777" w:rsidR="001B4EC8" w:rsidRPr="007C319B" w:rsidRDefault="001B4EC8" w:rsidP="001B4EC8">
            <w:pPr>
              <w:rPr>
                <w:rFonts w:cstheme="minorHAnsi"/>
                <w:sz w:val="20"/>
              </w:rPr>
            </w:pPr>
          </w:p>
        </w:tc>
        <w:tc>
          <w:tcPr>
            <w:tcW w:w="1926" w:type="dxa"/>
          </w:tcPr>
          <w:p w14:paraId="31E9295D" w14:textId="45A7A9C6" w:rsidR="001B4EC8" w:rsidRPr="007C319B" w:rsidRDefault="001B4EC8" w:rsidP="001B4EC8">
            <w:pPr>
              <w:rPr>
                <w:rFonts w:cstheme="minorHAnsi"/>
                <w:sz w:val="20"/>
              </w:rPr>
            </w:pPr>
          </w:p>
        </w:tc>
      </w:tr>
      <w:tr w:rsidR="001B4EC8" w14:paraId="637B9861" w14:textId="77777777" w:rsidTr="009737E5">
        <w:tc>
          <w:tcPr>
            <w:tcW w:w="1417" w:type="dxa"/>
          </w:tcPr>
          <w:p w14:paraId="53D9092B" w14:textId="71AF0F1F" w:rsidR="001B4EC8" w:rsidRPr="007C319B" w:rsidRDefault="001B4EC8" w:rsidP="001B4EC8">
            <w:pPr>
              <w:rPr>
                <w:rFonts w:cstheme="minorHAnsi"/>
                <w:b/>
                <w:sz w:val="18"/>
              </w:rPr>
            </w:pPr>
            <w:proofErr w:type="spellStart"/>
            <w:r w:rsidRPr="007C319B">
              <w:rPr>
                <w:rFonts w:cstheme="minorHAnsi"/>
                <w:b/>
                <w:sz w:val="18"/>
              </w:rPr>
              <w:t>Gemfish</w:t>
            </w:r>
            <w:proofErr w:type="spellEnd"/>
          </w:p>
        </w:tc>
        <w:tc>
          <w:tcPr>
            <w:tcW w:w="1135" w:type="dxa"/>
          </w:tcPr>
          <w:p w14:paraId="48418DB0" w14:textId="417CD41D" w:rsidR="001B4EC8" w:rsidRPr="007C319B" w:rsidRDefault="001B4EC8" w:rsidP="001B4EC8">
            <w:pPr>
              <w:rPr>
                <w:rFonts w:cstheme="minorHAnsi"/>
                <w:sz w:val="18"/>
              </w:rPr>
            </w:pPr>
            <w:r w:rsidRPr="007C319B">
              <w:rPr>
                <w:rFonts w:cstheme="minorHAnsi"/>
                <w:sz w:val="18"/>
              </w:rPr>
              <w:t>SKI3,7</w:t>
            </w:r>
          </w:p>
        </w:tc>
        <w:tc>
          <w:tcPr>
            <w:tcW w:w="2866" w:type="dxa"/>
          </w:tcPr>
          <w:p w14:paraId="64DAA14C" w14:textId="77777777" w:rsidR="001B4EC8" w:rsidRPr="007C319B" w:rsidRDefault="001B4EC8" w:rsidP="001B4EC8">
            <w:pPr>
              <w:rPr>
                <w:rFonts w:cstheme="minorHAnsi"/>
                <w:sz w:val="20"/>
                <w:szCs w:val="20"/>
              </w:rPr>
            </w:pPr>
            <w:r w:rsidRPr="007C319B">
              <w:rPr>
                <w:rFonts w:cstheme="minorHAnsi"/>
                <w:sz w:val="20"/>
                <w:szCs w:val="20"/>
              </w:rPr>
              <w:t>I</w:t>
            </w:r>
            <w:r w:rsidRPr="007C319B">
              <w:rPr>
                <w:rFonts w:cstheme="minorHAnsi"/>
                <w:b/>
                <w:sz w:val="20"/>
                <w:szCs w:val="20"/>
              </w:rPr>
              <w:t>ncrease</w:t>
            </w:r>
          </w:p>
          <w:p w14:paraId="326AC8FC" w14:textId="77777777" w:rsidR="001B4EC8" w:rsidRPr="007C319B" w:rsidRDefault="001B4EC8" w:rsidP="001B4EC8">
            <w:pPr>
              <w:rPr>
                <w:rFonts w:cstheme="minorHAnsi"/>
                <w:b/>
                <w:bCs/>
                <w:sz w:val="20"/>
                <w:szCs w:val="20"/>
              </w:rPr>
            </w:pPr>
            <w:r w:rsidRPr="007C319B">
              <w:rPr>
                <w:rFonts w:cstheme="minorHAnsi"/>
                <w:b/>
                <w:bCs/>
                <w:sz w:val="20"/>
                <w:szCs w:val="20"/>
              </w:rPr>
              <w:t>SKI 3</w:t>
            </w:r>
          </w:p>
          <w:p w14:paraId="45AD465C" w14:textId="77777777" w:rsidR="001B4EC8" w:rsidRPr="007C319B" w:rsidRDefault="001B4EC8" w:rsidP="001B4EC8">
            <w:pPr>
              <w:spacing w:line="259" w:lineRule="auto"/>
              <w:rPr>
                <w:rFonts w:cstheme="minorHAnsi"/>
              </w:rPr>
            </w:pPr>
            <w:r w:rsidRPr="007C319B">
              <w:rPr>
                <w:rFonts w:cstheme="minorHAnsi"/>
                <w:sz w:val="20"/>
                <w:szCs w:val="20"/>
              </w:rPr>
              <w:t>Option 1: Status Quo</w:t>
            </w:r>
          </w:p>
          <w:p w14:paraId="237116F5" w14:textId="77777777" w:rsidR="001B4EC8" w:rsidRPr="007C319B" w:rsidRDefault="001B4EC8" w:rsidP="001B4EC8">
            <w:pPr>
              <w:spacing w:line="259" w:lineRule="auto"/>
              <w:rPr>
                <w:rFonts w:cstheme="minorHAnsi"/>
                <w:sz w:val="20"/>
                <w:szCs w:val="20"/>
              </w:rPr>
            </w:pPr>
            <w:r w:rsidRPr="007C319B">
              <w:rPr>
                <w:rFonts w:cstheme="minorHAnsi"/>
                <w:sz w:val="20"/>
                <w:szCs w:val="20"/>
              </w:rPr>
              <w:t>Option 2: TACC 52%</w:t>
            </w:r>
          </w:p>
          <w:p w14:paraId="448A7F2F" w14:textId="77777777" w:rsidR="001B4EC8" w:rsidRPr="007C319B" w:rsidRDefault="001B4EC8" w:rsidP="001B4EC8">
            <w:pPr>
              <w:spacing w:line="259" w:lineRule="auto"/>
              <w:rPr>
                <w:rFonts w:cstheme="minorHAnsi"/>
                <w:sz w:val="20"/>
                <w:szCs w:val="20"/>
              </w:rPr>
            </w:pPr>
            <w:r w:rsidRPr="007C319B">
              <w:rPr>
                <w:rFonts w:cstheme="minorHAnsi"/>
                <w:sz w:val="20"/>
                <w:szCs w:val="20"/>
              </w:rPr>
              <w:t>Option 3: TACC 100%</w:t>
            </w:r>
          </w:p>
          <w:p w14:paraId="103E012C" w14:textId="77777777" w:rsidR="001B4EC8" w:rsidRPr="007C319B" w:rsidRDefault="001B4EC8" w:rsidP="001B4EC8">
            <w:pPr>
              <w:spacing w:line="259" w:lineRule="auto"/>
              <w:rPr>
                <w:rFonts w:cstheme="minorHAnsi"/>
                <w:sz w:val="20"/>
                <w:szCs w:val="20"/>
              </w:rPr>
            </w:pPr>
          </w:p>
          <w:p w14:paraId="35BFB952" w14:textId="77777777" w:rsidR="001B4EC8" w:rsidRPr="007C319B" w:rsidRDefault="001B4EC8" w:rsidP="001B4EC8">
            <w:pPr>
              <w:rPr>
                <w:rFonts w:cstheme="minorHAnsi"/>
                <w:b/>
                <w:bCs/>
                <w:sz w:val="20"/>
                <w:szCs w:val="20"/>
              </w:rPr>
            </w:pPr>
            <w:r w:rsidRPr="007C319B">
              <w:rPr>
                <w:rFonts w:cstheme="minorHAnsi"/>
                <w:b/>
                <w:bCs/>
                <w:sz w:val="20"/>
                <w:szCs w:val="20"/>
              </w:rPr>
              <w:t>SKI 7</w:t>
            </w:r>
          </w:p>
          <w:p w14:paraId="17354B72" w14:textId="77777777" w:rsidR="001B4EC8" w:rsidRPr="007C319B" w:rsidRDefault="001B4EC8" w:rsidP="001B4EC8">
            <w:pPr>
              <w:spacing w:line="259" w:lineRule="auto"/>
              <w:rPr>
                <w:rFonts w:cstheme="minorHAnsi"/>
              </w:rPr>
            </w:pPr>
            <w:r w:rsidRPr="007C319B">
              <w:rPr>
                <w:rFonts w:cstheme="minorHAnsi"/>
                <w:sz w:val="20"/>
                <w:szCs w:val="20"/>
              </w:rPr>
              <w:t>Option 1: Status Quo</w:t>
            </w:r>
          </w:p>
          <w:p w14:paraId="15E57554" w14:textId="729C00EB" w:rsidR="001B4EC8" w:rsidRPr="007C319B" w:rsidRDefault="001B4EC8" w:rsidP="001B4EC8">
            <w:pPr>
              <w:rPr>
                <w:rFonts w:cstheme="minorHAnsi"/>
                <w:sz w:val="20"/>
              </w:rPr>
            </w:pPr>
            <w:r w:rsidRPr="007C319B">
              <w:rPr>
                <w:rFonts w:cstheme="minorHAnsi"/>
                <w:sz w:val="20"/>
                <w:szCs w:val="20"/>
              </w:rPr>
              <w:t>Option 2: TACC 100%</w:t>
            </w:r>
          </w:p>
        </w:tc>
        <w:tc>
          <w:tcPr>
            <w:tcW w:w="4931" w:type="dxa"/>
          </w:tcPr>
          <w:p w14:paraId="1ED2C992" w14:textId="52147DE9" w:rsidR="001B4EC8" w:rsidRPr="007C319B" w:rsidRDefault="001B4EC8" w:rsidP="001B4EC8">
            <w:pPr>
              <w:rPr>
                <w:rFonts w:cstheme="minorHAnsi"/>
                <w:sz w:val="20"/>
              </w:rPr>
            </w:pPr>
            <w:r w:rsidRPr="007C319B">
              <w:rPr>
                <w:rFonts w:cstheme="minorHAnsi"/>
                <w:sz w:val="20"/>
              </w:rPr>
              <w:t>28N Rights in SKI7. Science supports increasing biomass for both stocks</w:t>
            </w:r>
            <w:r w:rsidRPr="007C319B">
              <w:rPr>
                <w:rFonts w:cstheme="minorHAnsi"/>
                <w:sz w:val="20"/>
              </w:rPr>
              <w:br/>
              <w:t xml:space="preserve">2018 Review </w:t>
            </w:r>
          </w:p>
        </w:tc>
        <w:tc>
          <w:tcPr>
            <w:tcW w:w="2551" w:type="dxa"/>
          </w:tcPr>
          <w:p w14:paraId="0F527A4E" w14:textId="77777777" w:rsidR="001B4EC8" w:rsidRPr="007C319B" w:rsidRDefault="001B4EC8" w:rsidP="001B4EC8">
            <w:pPr>
              <w:rPr>
                <w:rFonts w:cstheme="minorHAnsi"/>
                <w:sz w:val="20"/>
              </w:rPr>
            </w:pPr>
          </w:p>
        </w:tc>
        <w:tc>
          <w:tcPr>
            <w:tcW w:w="1926" w:type="dxa"/>
          </w:tcPr>
          <w:p w14:paraId="178BA668" w14:textId="4C28E107" w:rsidR="001B4EC8" w:rsidRPr="007C319B" w:rsidRDefault="001B4EC8" w:rsidP="001B4EC8">
            <w:pPr>
              <w:rPr>
                <w:rFonts w:cstheme="minorHAnsi"/>
                <w:sz w:val="20"/>
              </w:rPr>
            </w:pPr>
          </w:p>
        </w:tc>
      </w:tr>
      <w:tr w:rsidR="001B4EC8" w14:paraId="314BB002" w14:textId="77777777" w:rsidTr="009737E5">
        <w:tc>
          <w:tcPr>
            <w:tcW w:w="1417" w:type="dxa"/>
          </w:tcPr>
          <w:p w14:paraId="1791AEB6" w14:textId="232DF006" w:rsidR="001B4EC8" w:rsidRPr="007C319B" w:rsidRDefault="001B4EC8" w:rsidP="001B4EC8">
            <w:pPr>
              <w:rPr>
                <w:rFonts w:cstheme="minorHAnsi"/>
                <w:b/>
                <w:sz w:val="18"/>
              </w:rPr>
            </w:pPr>
            <w:r w:rsidRPr="007C319B">
              <w:rPr>
                <w:rFonts w:cstheme="minorHAnsi"/>
                <w:b/>
                <w:sz w:val="18"/>
              </w:rPr>
              <w:t>Hake</w:t>
            </w:r>
          </w:p>
        </w:tc>
        <w:tc>
          <w:tcPr>
            <w:tcW w:w="1135" w:type="dxa"/>
          </w:tcPr>
          <w:p w14:paraId="4AE83E0E" w14:textId="345DEBD3" w:rsidR="001B4EC8" w:rsidRPr="007C319B" w:rsidRDefault="001B4EC8" w:rsidP="001B4EC8">
            <w:pPr>
              <w:rPr>
                <w:rFonts w:cstheme="minorHAnsi"/>
                <w:sz w:val="18"/>
              </w:rPr>
            </w:pPr>
            <w:r w:rsidRPr="007C319B">
              <w:rPr>
                <w:rFonts w:cstheme="minorHAnsi"/>
                <w:sz w:val="18"/>
              </w:rPr>
              <w:t>HAK7</w:t>
            </w:r>
          </w:p>
        </w:tc>
        <w:tc>
          <w:tcPr>
            <w:tcW w:w="2866" w:type="dxa"/>
          </w:tcPr>
          <w:p w14:paraId="4BB19B22" w14:textId="77777777" w:rsidR="001B4EC8" w:rsidRPr="007C319B" w:rsidRDefault="001B4EC8" w:rsidP="001B4EC8">
            <w:pPr>
              <w:rPr>
                <w:rFonts w:cstheme="minorHAnsi"/>
                <w:b/>
                <w:bCs/>
                <w:sz w:val="20"/>
                <w:szCs w:val="20"/>
              </w:rPr>
            </w:pPr>
            <w:r w:rsidRPr="007C319B">
              <w:rPr>
                <w:rFonts w:cstheme="minorHAnsi"/>
                <w:b/>
                <w:bCs/>
                <w:sz w:val="20"/>
                <w:szCs w:val="20"/>
              </w:rPr>
              <w:t>Reduction</w:t>
            </w:r>
          </w:p>
          <w:p w14:paraId="77994010" w14:textId="77777777" w:rsidR="001B4EC8" w:rsidRPr="007C319B" w:rsidRDefault="001B4EC8" w:rsidP="001B4EC8">
            <w:pPr>
              <w:spacing w:line="259" w:lineRule="auto"/>
              <w:rPr>
                <w:rFonts w:cstheme="minorHAnsi"/>
              </w:rPr>
            </w:pPr>
            <w:r w:rsidRPr="007C319B">
              <w:rPr>
                <w:rFonts w:cstheme="minorHAnsi"/>
                <w:sz w:val="20"/>
                <w:szCs w:val="20"/>
              </w:rPr>
              <w:t>Option 1: Status Quo</w:t>
            </w:r>
          </w:p>
          <w:p w14:paraId="4D3BA869" w14:textId="77777777" w:rsidR="001B4EC8" w:rsidRPr="007C319B" w:rsidRDefault="001B4EC8" w:rsidP="001B4EC8">
            <w:pPr>
              <w:spacing w:line="259" w:lineRule="auto"/>
              <w:rPr>
                <w:rFonts w:cstheme="minorHAnsi"/>
                <w:sz w:val="20"/>
                <w:szCs w:val="20"/>
              </w:rPr>
            </w:pPr>
            <w:r w:rsidRPr="007C319B">
              <w:rPr>
                <w:rFonts w:cstheme="minorHAnsi"/>
                <w:sz w:val="20"/>
                <w:szCs w:val="20"/>
              </w:rPr>
              <w:t>Option 2: TACC 38%</w:t>
            </w:r>
          </w:p>
          <w:p w14:paraId="04B8B511" w14:textId="77777777" w:rsidR="001B4EC8" w:rsidRPr="007C319B" w:rsidRDefault="001B4EC8" w:rsidP="001B4EC8">
            <w:pPr>
              <w:spacing w:line="259" w:lineRule="auto"/>
              <w:rPr>
                <w:rFonts w:cstheme="minorHAnsi"/>
                <w:sz w:val="20"/>
                <w:szCs w:val="20"/>
              </w:rPr>
            </w:pPr>
            <w:r w:rsidRPr="007C319B">
              <w:rPr>
                <w:rFonts w:cstheme="minorHAnsi"/>
                <w:sz w:val="20"/>
                <w:szCs w:val="20"/>
              </w:rPr>
              <w:t>Option 3: TACC 55%</w:t>
            </w:r>
          </w:p>
          <w:p w14:paraId="3D06F663" w14:textId="77777777" w:rsidR="001B4EC8" w:rsidRPr="007C319B" w:rsidRDefault="001B4EC8" w:rsidP="001B4EC8">
            <w:pPr>
              <w:spacing w:line="259" w:lineRule="auto"/>
              <w:rPr>
                <w:rFonts w:cstheme="minorHAnsi"/>
                <w:sz w:val="20"/>
                <w:szCs w:val="20"/>
              </w:rPr>
            </w:pPr>
            <w:r w:rsidRPr="007C319B">
              <w:rPr>
                <w:rFonts w:cstheme="minorHAnsi"/>
                <w:sz w:val="20"/>
                <w:szCs w:val="20"/>
              </w:rPr>
              <w:lastRenderedPageBreak/>
              <w:t>Option 4: TACC 73%</w:t>
            </w:r>
          </w:p>
          <w:p w14:paraId="4AA172EE" w14:textId="65DC3386" w:rsidR="001B4EC8" w:rsidRPr="007C319B" w:rsidRDefault="001B4EC8" w:rsidP="001B4EC8">
            <w:pPr>
              <w:rPr>
                <w:rFonts w:cstheme="minorHAnsi"/>
                <w:sz w:val="20"/>
              </w:rPr>
            </w:pPr>
          </w:p>
        </w:tc>
        <w:tc>
          <w:tcPr>
            <w:tcW w:w="4931" w:type="dxa"/>
          </w:tcPr>
          <w:p w14:paraId="2CCAC053" w14:textId="77777777" w:rsidR="001B4EC8" w:rsidRPr="007C319B" w:rsidRDefault="001B4EC8" w:rsidP="001B4EC8">
            <w:pPr>
              <w:rPr>
                <w:rFonts w:cstheme="minorHAnsi"/>
                <w:sz w:val="20"/>
              </w:rPr>
            </w:pPr>
            <w:r w:rsidRPr="007C319B">
              <w:rPr>
                <w:rFonts w:cstheme="minorHAnsi"/>
                <w:sz w:val="20"/>
              </w:rPr>
              <w:lastRenderedPageBreak/>
              <w:t>Sustainability risk, B</w:t>
            </w:r>
            <w:r w:rsidRPr="007C319B">
              <w:rPr>
                <w:rFonts w:cstheme="minorHAnsi"/>
                <w:sz w:val="20"/>
                <w:vertAlign w:val="subscript"/>
              </w:rPr>
              <w:t>0</w:t>
            </w:r>
            <w:r w:rsidRPr="007C319B">
              <w:rPr>
                <w:rFonts w:cstheme="minorHAnsi"/>
                <w:sz w:val="20"/>
              </w:rPr>
              <w:t>=17%</w:t>
            </w:r>
          </w:p>
          <w:p w14:paraId="2EC2F81E" w14:textId="38071BF9" w:rsidR="001B4EC8" w:rsidRPr="007C319B" w:rsidRDefault="001B4EC8" w:rsidP="001B4EC8">
            <w:pPr>
              <w:rPr>
                <w:rFonts w:cstheme="minorHAnsi"/>
                <w:sz w:val="20"/>
              </w:rPr>
            </w:pPr>
            <w:r w:rsidRPr="007C319B">
              <w:rPr>
                <w:rFonts w:cstheme="minorHAnsi"/>
                <w:sz w:val="20"/>
              </w:rPr>
              <w:t>Can be avoided (not a choke species)</w:t>
            </w:r>
          </w:p>
        </w:tc>
        <w:tc>
          <w:tcPr>
            <w:tcW w:w="2551" w:type="dxa"/>
          </w:tcPr>
          <w:p w14:paraId="7406BA10" w14:textId="77777777" w:rsidR="001B4EC8" w:rsidRPr="007C319B" w:rsidRDefault="001B4EC8" w:rsidP="001B4EC8">
            <w:pPr>
              <w:rPr>
                <w:rFonts w:cstheme="minorHAnsi"/>
                <w:sz w:val="20"/>
              </w:rPr>
            </w:pPr>
          </w:p>
        </w:tc>
        <w:tc>
          <w:tcPr>
            <w:tcW w:w="1926" w:type="dxa"/>
          </w:tcPr>
          <w:p w14:paraId="08B560B5" w14:textId="574DAA0D" w:rsidR="001B4EC8" w:rsidRPr="007C319B" w:rsidRDefault="001B4EC8" w:rsidP="001B4EC8">
            <w:pPr>
              <w:rPr>
                <w:rFonts w:cstheme="minorHAnsi"/>
                <w:sz w:val="20"/>
              </w:rPr>
            </w:pPr>
          </w:p>
        </w:tc>
      </w:tr>
      <w:tr w:rsidR="001B4EC8" w14:paraId="7302325D" w14:textId="77777777" w:rsidTr="009737E5">
        <w:tc>
          <w:tcPr>
            <w:tcW w:w="1417" w:type="dxa"/>
          </w:tcPr>
          <w:p w14:paraId="3FAC15AB" w14:textId="669E32DF" w:rsidR="001B4EC8" w:rsidRPr="007C319B" w:rsidRDefault="001B4EC8" w:rsidP="001B4EC8">
            <w:pPr>
              <w:rPr>
                <w:rFonts w:cstheme="minorHAnsi"/>
                <w:b/>
                <w:sz w:val="18"/>
              </w:rPr>
            </w:pPr>
            <w:r w:rsidRPr="007C319B">
              <w:rPr>
                <w:rFonts w:cstheme="minorHAnsi"/>
                <w:b/>
                <w:sz w:val="18"/>
              </w:rPr>
              <w:t>Snapper</w:t>
            </w:r>
          </w:p>
        </w:tc>
        <w:tc>
          <w:tcPr>
            <w:tcW w:w="1135" w:type="dxa"/>
          </w:tcPr>
          <w:p w14:paraId="47C80BE6" w14:textId="06C89520" w:rsidR="001B4EC8" w:rsidRPr="007C319B" w:rsidRDefault="001B4EC8" w:rsidP="001B4EC8">
            <w:pPr>
              <w:rPr>
                <w:rFonts w:cstheme="minorHAnsi"/>
                <w:sz w:val="18"/>
              </w:rPr>
            </w:pPr>
            <w:r w:rsidRPr="007C319B">
              <w:rPr>
                <w:rFonts w:cstheme="minorHAnsi"/>
                <w:sz w:val="18"/>
              </w:rPr>
              <w:t>SNA7</w:t>
            </w:r>
          </w:p>
        </w:tc>
        <w:tc>
          <w:tcPr>
            <w:tcW w:w="2866" w:type="dxa"/>
          </w:tcPr>
          <w:p w14:paraId="607D5B08" w14:textId="27B9AFFA" w:rsidR="001B4EC8" w:rsidRPr="007C319B" w:rsidRDefault="001B4EC8" w:rsidP="001B4EC8">
            <w:pPr>
              <w:rPr>
                <w:rFonts w:cstheme="minorHAnsi"/>
                <w:sz w:val="20"/>
              </w:rPr>
            </w:pPr>
            <w:r w:rsidRPr="007C319B">
              <w:rPr>
                <w:rFonts w:cstheme="minorHAnsi"/>
                <w:sz w:val="20"/>
              </w:rPr>
              <w:t>Not included</w:t>
            </w:r>
          </w:p>
        </w:tc>
        <w:tc>
          <w:tcPr>
            <w:tcW w:w="4931" w:type="dxa"/>
          </w:tcPr>
          <w:p w14:paraId="441A3200" w14:textId="327D16EC" w:rsidR="001B4EC8" w:rsidRPr="007C319B" w:rsidRDefault="001B4EC8" w:rsidP="001B4EC8">
            <w:pPr>
              <w:rPr>
                <w:rFonts w:cstheme="minorHAnsi"/>
                <w:sz w:val="20"/>
              </w:rPr>
            </w:pPr>
            <w:r w:rsidRPr="007C319B">
              <w:rPr>
                <w:rFonts w:cstheme="minorHAnsi"/>
                <w:sz w:val="20"/>
              </w:rPr>
              <w:t>Error in allocation needs to be amended. Following up with FNZ managers. Stock 38% and increasing.</w:t>
            </w:r>
          </w:p>
        </w:tc>
        <w:tc>
          <w:tcPr>
            <w:tcW w:w="2551" w:type="dxa"/>
          </w:tcPr>
          <w:p w14:paraId="3F3A8D59" w14:textId="77777777" w:rsidR="001B4EC8" w:rsidRPr="007C319B" w:rsidRDefault="001B4EC8" w:rsidP="001B4EC8">
            <w:pPr>
              <w:rPr>
                <w:rFonts w:cstheme="minorHAnsi"/>
                <w:sz w:val="20"/>
              </w:rPr>
            </w:pPr>
          </w:p>
        </w:tc>
        <w:tc>
          <w:tcPr>
            <w:tcW w:w="1926" w:type="dxa"/>
          </w:tcPr>
          <w:p w14:paraId="3BFCF9A6" w14:textId="59818CC3" w:rsidR="001B4EC8" w:rsidRPr="007C319B" w:rsidRDefault="001B4EC8" w:rsidP="001B4EC8">
            <w:pPr>
              <w:rPr>
                <w:rFonts w:cstheme="minorHAnsi"/>
                <w:sz w:val="20"/>
              </w:rPr>
            </w:pPr>
          </w:p>
        </w:tc>
      </w:tr>
      <w:tr w:rsidR="001B4EC8" w14:paraId="5AB0B0BD" w14:textId="77777777" w:rsidTr="009737E5">
        <w:tc>
          <w:tcPr>
            <w:tcW w:w="1417" w:type="dxa"/>
          </w:tcPr>
          <w:p w14:paraId="36530A8E" w14:textId="786AE106" w:rsidR="001B4EC8" w:rsidRPr="007C319B" w:rsidRDefault="001B4EC8" w:rsidP="001B4EC8">
            <w:pPr>
              <w:rPr>
                <w:rFonts w:cstheme="minorHAnsi"/>
                <w:b/>
                <w:sz w:val="18"/>
              </w:rPr>
            </w:pPr>
            <w:r w:rsidRPr="007C319B">
              <w:rPr>
                <w:rFonts w:cstheme="minorHAnsi"/>
                <w:b/>
                <w:sz w:val="18"/>
              </w:rPr>
              <w:t>Ling</w:t>
            </w:r>
          </w:p>
        </w:tc>
        <w:tc>
          <w:tcPr>
            <w:tcW w:w="1135" w:type="dxa"/>
          </w:tcPr>
          <w:p w14:paraId="2AC8AB4D" w14:textId="50FDA7AA" w:rsidR="001B4EC8" w:rsidRPr="007C319B" w:rsidRDefault="001B4EC8" w:rsidP="001B4EC8">
            <w:pPr>
              <w:rPr>
                <w:rFonts w:cstheme="minorHAnsi"/>
                <w:sz w:val="18"/>
              </w:rPr>
            </w:pPr>
            <w:r w:rsidRPr="007C319B">
              <w:rPr>
                <w:rFonts w:cstheme="minorHAnsi"/>
                <w:sz w:val="18"/>
              </w:rPr>
              <w:t>LIN7</w:t>
            </w:r>
          </w:p>
        </w:tc>
        <w:tc>
          <w:tcPr>
            <w:tcW w:w="2866" w:type="dxa"/>
          </w:tcPr>
          <w:p w14:paraId="489BC67C" w14:textId="77777777" w:rsidR="001B4EC8" w:rsidRPr="007C319B" w:rsidRDefault="001B4EC8" w:rsidP="001B4EC8">
            <w:pPr>
              <w:rPr>
                <w:rFonts w:cstheme="minorHAnsi"/>
                <w:sz w:val="20"/>
                <w:szCs w:val="20"/>
              </w:rPr>
            </w:pPr>
            <w:r w:rsidRPr="007C319B">
              <w:rPr>
                <w:rFonts w:cstheme="minorHAnsi"/>
                <w:b/>
                <w:sz w:val="20"/>
                <w:szCs w:val="20"/>
              </w:rPr>
              <w:t>Increase</w:t>
            </w:r>
            <w:r w:rsidRPr="007C319B">
              <w:rPr>
                <w:rFonts w:cstheme="minorHAnsi"/>
                <w:sz w:val="20"/>
                <w:szCs w:val="20"/>
              </w:rPr>
              <w:t xml:space="preserve"> </w:t>
            </w:r>
          </w:p>
          <w:p w14:paraId="1B1A656E" w14:textId="77777777" w:rsidR="001B4EC8" w:rsidRPr="007C319B" w:rsidRDefault="001B4EC8" w:rsidP="001B4EC8">
            <w:pPr>
              <w:rPr>
                <w:rFonts w:cstheme="minorHAnsi"/>
                <w:sz w:val="20"/>
              </w:rPr>
            </w:pPr>
            <w:r w:rsidRPr="007C319B">
              <w:rPr>
                <w:rFonts w:cstheme="minorHAnsi"/>
                <w:sz w:val="20"/>
                <w:szCs w:val="20"/>
              </w:rPr>
              <w:t xml:space="preserve">Option 1: Status </w:t>
            </w:r>
            <w:r w:rsidRPr="007C319B">
              <w:rPr>
                <w:rFonts w:cstheme="minorHAnsi"/>
                <w:sz w:val="20"/>
              </w:rPr>
              <w:t>Quo</w:t>
            </w:r>
          </w:p>
          <w:p w14:paraId="5EB1F364" w14:textId="77777777" w:rsidR="001B4EC8" w:rsidRPr="007C319B" w:rsidRDefault="001B4EC8" w:rsidP="001B4EC8">
            <w:pPr>
              <w:rPr>
                <w:rFonts w:cstheme="minorHAnsi"/>
                <w:sz w:val="20"/>
              </w:rPr>
            </w:pPr>
            <w:r w:rsidRPr="007C319B">
              <w:rPr>
                <w:rFonts w:cstheme="minorHAnsi"/>
                <w:sz w:val="20"/>
              </w:rPr>
              <w:t>Option 2: TACC 10%</w:t>
            </w:r>
          </w:p>
          <w:p w14:paraId="6F6067E9" w14:textId="6BD339A3" w:rsidR="001B4EC8" w:rsidRPr="007C319B" w:rsidRDefault="001B4EC8" w:rsidP="001B4EC8">
            <w:pPr>
              <w:rPr>
                <w:rFonts w:cstheme="minorHAnsi"/>
                <w:sz w:val="20"/>
              </w:rPr>
            </w:pPr>
            <w:r w:rsidRPr="007C319B">
              <w:rPr>
                <w:rFonts w:cstheme="minorHAnsi"/>
                <w:sz w:val="20"/>
              </w:rPr>
              <w:t>Option 3: TACC</w:t>
            </w:r>
            <w:r w:rsidRPr="007C319B">
              <w:rPr>
                <w:rFonts w:cstheme="minorHAnsi"/>
                <w:sz w:val="20"/>
                <w:szCs w:val="20"/>
              </w:rPr>
              <w:t xml:space="preserve"> 20%</w:t>
            </w:r>
          </w:p>
        </w:tc>
        <w:tc>
          <w:tcPr>
            <w:tcW w:w="4931" w:type="dxa"/>
          </w:tcPr>
          <w:p w14:paraId="607F45A9" w14:textId="31BD1E04" w:rsidR="001B4EC8" w:rsidRPr="007C319B" w:rsidRDefault="001B4EC8" w:rsidP="001B4EC8">
            <w:pPr>
              <w:rPr>
                <w:rFonts w:cstheme="minorHAnsi"/>
                <w:sz w:val="20"/>
              </w:rPr>
            </w:pPr>
            <w:r w:rsidRPr="007C319B">
              <w:rPr>
                <w:rFonts w:cstheme="minorHAnsi"/>
                <w:sz w:val="20"/>
              </w:rPr>
              <w:t xml:space="preserve">~$1 mill being paid in deemed values each year. Usually more than 10% overcaught. </w:t>
            </w:r>
          </w:p>
        </w:tc>
        <w:tc>
          <w:tcPr>
            <w:tcW w:w="2551" w:type="dxa"/>
          </w:tcPr>
          <w:p w14:paraId="0C79747A" w14:textId="77777777" w:rsidR="001B4EC8" w:rsidRPr="007C319B" w:rsidRDefault="001B4EC8" w:rsidP="001B4EC8">
            <w:pPr>
              <w:rPr>
                <w:rFonts w:cstheme="minorHAnsi"/>
                <w:sz w:val="20"/>
              </w:rPr>
            </w:pPr>
          </w:p>
        </w:tc>
        <w:tc>
          <w:tcPr>
            <w:tcW w:w="1926" w:type="dxa"/>
          </w:tcPr>
          <w:p w14:paraId="0DA05384" w14:textId="5A01FF16" w:rsidR="001B4EC8" w:rsidRPr="007C319B" w:rsidRDefault="001B4EC8" w:rsidP="001B4EC8">
            <w:pPr>
              <w:rPr>
                <w:rFonts w:cstheme="minorHAnsi"/>
                <w:sz w:val="20"/>
              </w:rPr>
            </w:pPr>
          </w:p>
        </w:tc>
      </w:tr>
      <w:tr w:rsidR="001B4EC8" w14:paraId="6AADA27D" w14:textId="77777777" w:rsidTr="009737E5">
        <w:tc>
          <w:tcPr>
            <w:tcW w:w="1417" w:type="dxa"/>
          </w:tcPr>
          <w:p w14:paraId="47792EEE" w14:textId="6DBD14DD" w:rsidR="001B4EC8" w:rsidRPr="007C319B" w:rsidRDefault="001B4EC8" w:rsidP="001B4EC8">
            <w:pPr>
              <w:rPr>
                <w:rFonts w:cstheme="minorHAnsi"/>
                <w:b/>
                <w:sz w:val="18"/>
              </w:rPr>
            </w:pPr>
            <w:r w:rsidRPr="007C319B">
              <w:rPr>
                <w:rFonts w:cstheme="minorHAnsi"/>
                <w:b/>
                <w:sz w:val="18"/>
              </w:rPr>
              <w:t>South Island Trawl</w:t>
            </w:r>
          </w:p>
        </w:tc>
        <w:tc>
          <w:tcPr>
            <w:tcW w:w="1135" w:type="dxa"/>
          </w:tcPr>
          <w:p w14:paraId="0F0A4C5C" w14:textId="7CF270BE" w:rsidR="001B4EC8" w:rsidRPr="007C319B" w:rsidRDefault="001B4EC8" w:rsidP="001B4EC8">
            <w:pPr>
              <w:rPr>
                <w:rFonts w:cstheme="minorHAnsi"/>
                <w:sz w:val="18"/>
              </w:rPr>
            </w:pPr>
            <w:r w:rsidRPr="007C319B">
              <w:rPr>
                <w:rFonts w:cstheme="minorHAnsi"/>
                <w:sz w:val="18"/>
              </w:rPr>
              <w:t>ELE7, GUR7, JDO7 SPO7</w:t>
            </w:r>
          </w:p>
        </w:tc>
        <w:tc>
          <w:tcPr>
            <w:tcW w:w="2866" w:type="dxa"/>
          </w:tcPr>
          <w:p w14:paraId="25B9613D" w14:textId="77777777" w:rsidR="001B4EC8" w:rsidRPr="007C319B" w:rsidRDefault="001B4EC8" w:rsidP="001B4EC8">
            <w:pPr>
              <w:rPr>
                <w:rFonts w:cstheme="minorHAnsi"/>
                <w:sz w:val="20"/>
              </w:rPr>
            </w:pPr>
            <w:r w:rsidRPr="007C319B">
              <w:rPr>
                <w:rFonts w:cstheme="minorHAnsi"/>
                <w:sz w:val="20"/>
              </w:rPr>
              <w:t xml:space="preserve">Increase all </w:t>
            </w:r>
          </w:p>
          <w:p w14:paraId="69980652" w14:textId="77777777" w:rsidR="001B4EC8" w:rsidRPr="007C319B" w:rsidRDefault="002D4689" w:rsidP="001B4EC8">
            <w:pPr>
              <w:rPr>
                <w:rFonts w:cstheme="minorHAnsi"/>
                <w:sz w:val="20"/>
              </w:rPr>
            </w:pPr>
            <w:r w:rsidRPr="007C319B">
              <w:rPr>
                <w:rFonts w:cstheme="minorHAnsi"/>
                <w:sz w:val="20"/>
              </w:rPr>
              <w:t>GUR7</w:t>
            </w:r>
            <w:r w:rsidR="00726E4A" w:rsidRPr="007C319B">
              <w:rPr>
                <w:rFonts w:cstheme="minorHAnsi"/>
                <w:sz w:val="20"/>
              </w:rPr>
              <w:t xml:space="preserve"> and SPO7: </w:t>
            </w:r>
            <w:r w:rsidR="00046C6A" w:rsidRPr="007C319B">
              <w:rPr>
                <w:rFonts w:cstheme="minorHAnsi"/>
                <w:sz w:val="20"/>
              </w:rPr>
              <w:t>10% and 20%</w:t>
            </w:r>
          </w:p>
          <w:p w14:paraId="1B1C70B9" w14:textId="77777777" w:rsidR="00046C6A" w:rsidRPr="007C319B" w:rsidRDefault="00866BE9" w:rsidP="001B4EC8">
            <w:pPr>
              <w:rPr>
                <w:rFonts w:cstheme="minorHAnsi"/>
                <w:sz w:val="20"/>
              </w:rPr>
            </w:pPr>
            <w:r w:rsidRPr="007C319B">
              <w:rPr>
                <w:rFonts w:cstheme="minorHAnsi"/>
                <w:sz w:val="20"/>
              </w:rPr>
              <w:t>JDO7: 10%</w:t>
            </w:r>
          </w:p>
          <w:p w14:paraId="14528A17" w14:textId="77777777" w:rsidR="00866BE9" w:rsidRPr="007C319B" w:rsidRDefault="00866BE9" w:rsidP="001B4EC8">
            <w:pPr>
              <w:rPr>
                <w:rFonts w:cstheme="minorHAnsi"/>
                <w:sz w:val="20"/>
              </w:rPr>
            </w:pPr>
            <w:r w:rsidRPr="007C319B">
              <w:rPr>
                <w:rFonts w:cstheme="minorHAnsi"/>
                <w:sz w:val="20"/>
              </w:rPr>
              <w:t xml:space="preserve">ELE7: </w:t>
            </w:r>
            <w:r w:rsidR="006862DE" w:rsidRPr="007C319B">
              <w:rPr>
                <w:rFonts w:cstheme="minorHAnsi"/>
                <w:sz w:val="20"/>
              </w:rPr>
              <w:t>Set a TAC</w:t>
            </w:r>
          </w:p>
          <w:p w14:paraId="19202E7B" w14:textId="3F90DC7A" w:rsidR="001B4EC8" w:rsidRPr="007C319B" w:rsidRDefault="006862DE" w:rsidP="001B4EC8">
            <w:pPr>
              <w:rPr>
                <w:rFonts w:cstheme="minorHAnsi"/>
                <w:b/>
                <w:sz w:val="20"/>
              </w:rPr>
            </w:pPr>
            <w:r w:rsidRPr="007C319B">
              <w:rPr>
                <w:rFonts w:cstheme="minorHAnsi"/>
                <w:b/>
                <w:sz w:val="20"/>
              </w:rPr>
              <w:t>GUR7 Re</w:t>
            </w:r>
            <w:r w:rsidRPr="007C319B">
              <w:rPr>
                <w:rFonts w:cstheme="minorHAnsi"/>
                <w:b/>
                <w:sz w:val="20"/>
              </w:rPr>
              <w:t>c</w:t>
            </w:r>
            <w:r w:rsidR="00B71A18" w:rsidRPr="007C319B">
              <w:rPr>
                <w:rFonts w:cstheme="minorHAnsi"/>
                <w:b/>
                <w:sz w:val="20"/>
              </w:rPr>
              <w:t>: increase 50%</w:t>
            </w:r>
          </w:p>
        </w:tc>
        <w:tc>
          <w:tcPr>
            <w:tcW w:w="4931" w:type="dxa"/>
          </w:tcPr>
          <w:p w14:paraId="36E5026B" w14:textId="77777777" w:rsidR="001B4EC8" w:rsidRPr="007C319B" w:rsidRDefault="001B4EC8" w:rsidP="001B4EC8">
            <w:pPr>
              <w:rPr>
                <w:rFonts w:cstheme="minorHAnsi"/>
                <w:sz w:val="20"/>
              </w:rPr>
            </w:pPr>
            <w:r w:rsidRPr="007C319B">
              <w:rPr>
                <w:rFonts w:cstheme="minorHAnsi"/>
                <w:sz w:val="20"/>
              </w:rPr>
              <w:t>Being increased as an assemblage although options are separate for each stock.</w:t>
            </w:r>
          </w:p>
          <w:p w14:paraId="02A3DBFC" w14:textId="2F582BBA" w:rsidR="001B4EC8" w:rsidRPr="007C319B" w:rsidRDefault="001B4EC8" w:rsidP="001B4EC8">
            <w:pPr>
              <w:rPr>
                <w:rFonts w:cstheme="minorHAnsi"/>
                <w:sz w:val="20"/>
              </w:rPr>
            </w:pPr>
            <w:r w:rsidRPr="007C319B">
              <w:rPr>
                <w:rFonts w:cstheme="minorHAnsi"/>
                <w:sz w:val="20"/>
              </w:rPr>
              <w:t>GUR7 proposal based on NPS, does not align with allocation principles.</w:t>
            </w:r>
            <w:r w:rsidRPr="007C319B">
              <w:rPr>
                <w:rFonts w:cstheme="minorHAnsi"/>
                <w:sz w:val="20"/>
              </w:rPr>
              <w:br/>
              <w:t>JDO7 – 2018 Review</w:t>
            </w:r>
            <w:r w:rsidRPr="007C319B">
              <w:rPr>
                <w:rFonts w:cstheme="minorHAnsi"/>
                <w:sz w:val="20"/>
              </w:rPr>
              <w:br/>
              <w:t>SPO7 – 2018 Review</w:t>
            </w:r>
          </w:p>
        </w:tc>
        <w:tc>
          <w:tcPr>
            <w:tcW w:w="2551" w:type="dxa"/>
          </w:tcPr>
          <w:p w14:paraId="063316FA" w14:textId="77777777" w:rsidR="001B4EC8" w:rsidRPr="007C319B" w:rsidRDefault="001B4EC8" w:rsidP="001B4EC8">
            <w:pPr>
              <w:rPr>
                <w:rFonts w:cstheme="minorHAnsi"/>
                <w:sz w:val="20"/>
              </w:rPr>
            </w:pPr>
          </w:p>
        </w:tc>
        <w:tc>
          <w:tcPr>
            <w:tcW w:w="1926" w:type="dxa"/>
          </w:tcPr>
          <w:p w14:paraId="633B07F8" w14:textId="65C308BD" w:rsidR="001B4EC8" w:rsidRPr="007C319B" w:rsidRDefault="001B4EC8" w:rsidP="001B4EC8">
            <w:pPr>
              <w:rPr>
                <w:rFonts w:cstheme="minorHAnsi"/>
                <w:sz w:val="20"/>
              </w:rPr>
            </w:pPr>
          </w:p>
        </w:tc>
      </w:tr>
      <w:tr w:rsidR="001B4EC8" w14:paraId="6FE07CC6" w14:textId="77777777" w:rsidTr="009737E5">
        <w:tc>
          <w:tcPr>
            <w:tcW w:w="1417" w:type="dxa"/>
          </w:tcPr>
          <w:p w14:paraId="5E8D174A" w14:textId="38B66C27" w:rsidR="001B4EC8" w:rsidRPr="007C319B" w:rsidRDefault="001B4EC8" w:rsidP="001B4EC8">
            <w:pPr>
              <w:rPr>
                <w:rFonts w:cstheme="minorHAnsi"/>
                <w:b/>
                <w:sz w:val="18"/>
              </w:rPr>
            </w:pPr>
            <w:r w:rsidRPr="007C319B">
              <w:rPr>
                <w:rFonts w:cstheme="minorHAnsi"/>
                <w:b/>
                <w:sz w:val="18"/>
              </w:rPr>
              <w:t>ACV reporting</w:t>
            </w:r>
          </w:p>
        </w:tc>
        <w:tc>
          <w:tcPr>
            <w:tcW w:w="1135" w:type="dxa"/>
          </w:tcPr>
          <w:p w14:paraId="65C365B8" w14:textId="46F79B04" w:rsidR="001B4EC8" w:rsidRPr="007C319B" w:rsidRDefault="001B4EC8" w:rsidP="001B4EC8">
            <w:pPr>
              <w:rPr>
                <w:rFonts w:cstheme="minorHAnsi"/>
                <w:sz w:val="18"/>
              </w:rPr>
            </w:pPr>
            <w:r w:rsidRPr="007C319B">
              <w:rPr>
                <w:rFonts w:cstheme="minorHAnsi"/>
                <w:sz w:val="18"/>
              </w:rPr>
              <w:t xml:space="preserve">Snapper, </w:t>
            </w:r>
            <w:proofErr w:type="spellStart"/>
            <w:r w:rsidRPr="007C319B">
              <w:rPr>
                <w:rFonts w:cstheme="minorHAnsi"/>
                <w:sz w:val="18"/>
              </w:rPr>
              <w:t>tarakihi</w:t>
            </w:r>
            <w:proofErr w:type="spellEnd"/>
            <w:r w:rsidRPr="007C319B">
              <w:rPr>
                <w:rFonts w:cstheme="minorHAnsi"/>
                <w:sz w:val="18"/>
              </w:rPr>
              <w:t xml:space="preserve">, scallops, </w:t>
            </w:r>
          </w:p>
        </w:tc>
        <w:tc>
          <w:tcPr>
            <w:tcW w:w="2866" w:type="dxa"/>
          </w:tcPr>
          <w:p w14:paraId="14223D01" w14:textId="0E97EFCE" w:rsidR="001B4EC8" w:rsidRPr="007C319B" w:rsidRDefault="001B4EC8" w:rsidP="001B4EC8">
            <w:pPr>
              <w:rPr>
                <w:rFonts w:cstheme="minorHAnsi"/>
                <w:sz w:val="20"/>
              </w:rPr>
            </w:pPr>
            <w:r w:rsidRPr="007C319B">
              <w:rPr>
                <w:rFonts w:cstheme="minorHAnsi"/>
                <w:sz w:val="20"/>
              </w:rPr>
              <w:t>Add to reporting list, expanding coverage from some stocks to all stocks. Compulsory reporting of estimated weight</w:t>
            </w:r>
          </w:p>
        </w:tc>
        <w:tc>
          <w:tcPr>
            <w:tcW w:w="4931" w:type="dxa"/>
          </w:tcPr>
          <w:p w14:paraId="008B1E31" w14:textId="4C2A1884" w:rsidR="001B4EC8" w:rsidRPr="007C319B" w:rsidRDefault="001B4EC8" w:rsidP="001B4EC8">
            <w:pPr>
              <w:rPr>
                <w:rFonts w:cstheme="minorHAnsi"/>
                <w:sz w:val="20"/>
              </w:rPr>
            </w:pPr>
            <w:r w:rsidRPr="007C319B">
              <w:rPr>
                <w:rFonts w:cstheme="minorHAnsi"/>
                <w:sz w:val="20"/>
              </w:rPr>
              <w:t xml:space="preserve">Recreational reporting, Management to allowance, treatment of ACV fleet as commercials. </w:t>
            </w:r>
          </w:p>
        </w:tc>
        <w:tc>
          <w:tcPr>
            <w:tcW w:w="2551" w:type="dxa"/>
          </w:tcPr>
          <w:p w14:paraId="68090E30" w14:textId="77777777" w:rsidR="001B4EC8" w:rsidRPr="007C319B" w:rsidRDefault="001B4EC8" w:rsidP="001B4EC8">
            <w:pPr>
              <w:rPr>
                <w:rFonts w:cstheme="minorHAnsi"/>
                <w:sz w:val="20"/>
              </w:rPr>
            </w:pPr>
          </w:p>
        </w:tc>
        <w:tc>
          <w:tcPr>
            <w:tcW w:w="1926" w:type="dxa"/>
          </w:tcPr>
          <w:p w14:paraId="7411F492" w14:textId="19A3DE90" w:rsidR="001B4EC8" w:rsidRPr="007C319B" w:rsidRDefault="001B4EC8" w:rsidP="001B4EC8">
            <w:pPr>
              <w:rPr>
                <w:rFonts w:cstheme="minorHAnsi"/>
                <w:sz w:val="20"/>
              </w:rPr>
            </w:pPr>
          </w:p>
        </w:tc>
      </w:tr>
      <w:tr w:rsidR="001B4EC8" w14:paraId="6634B0CE" w14:textId="77777777" w:rsidTr="009737E5">
        <w:tc>
          <w:tcPr>
            <w:tcW w:w="1417" w:type="dxa"/>
          </w:tcPr>
          <w:p w14:paraId="121FA75A" w14:textId="7848FB59" w:rsidR="001B4EC8" w:rsidRPr="007C319B" w:rsidRDefault="001B4EC8" w:rsidP="001B4EC8">
            <w:pPr>
              <w:rPr>
                <w:rFonts w:cstheme="minorHAnsi"/>
                <w:b/>
                <w:sz w:val="18"/>
              </w:rPr>
            </w:pPr>
            <w:r w:rsidRPr="007C319B">
              <w:rPr>
                <w:rFonts w:cstheme="minorHAnsi"/>
                <w:b/>
                <w:sz w:val="18"/>
              </w:rPr>
              <w:t>Deemed Values</w:t>
            </w:r>
          </w:p>
        </w:tc>
        <w:tc>
          <w:tcPr>
            <w:tcW w:w="1135" w:type="dxa"/>
          </w:tcPr>
          <w:p w14:paraId="6363DF11" w14:textId="22DF8922" w:rsidR="001B4EC8" w:rsidRPr="007C319B" w:rsidRDefault="001B4EC8" w:rsidP="001B4EC8">
            <w:pPr>
              <w:rPr>
                <w:rFonts w:cstheme="minorHAnsi"/>
                <w:sz w:val="18"/>
              </w:rPr>
            </w:pPr>
          </w:p>
        </w:tc>
        <w:tc>
          <w:tcPr>
            <w:tcW w:w="2866" w:type="dxa"/>
          </w:tcPr>
          <w:p w14:paraId="097171EF" w14:textId="05C9661F" w:rsidR="001B4EC8" w:rsidRPr="007C319B" w:rsidRDefault="001B4EC8" w:rsidP="001B4EC8">
            <w:pPr>
              <w:rPr>
                <w:rFonts w:cstheme="minorHAnsi"/>
                <w:sz w:val="20"/>
              </w:rPr>
            </w:pPr>
            <w:r w:rsidRPr="007C319B">
              <w:rPr>
                <w:rFonts w:cstheme="minorHAnsi"/>
                <w:sz w:val="20"/>
                <w:szCs w:val="20"/>
              </w:rPr>
              <w:t xml:space="preserve">Listed below are stocks proposed to have deemed value change please refer to the consultation document for </w:t>
            </w:r>
            <w:r w:rsidRPr="007C319B">
              <w:rPr>
                <w:rFonts w:cstheme="minorHAnsi"/>
                <w:sz w:val="20"/>
                <w:szCs w:val="20"/>
              </w:rPr>
              <w:t xml:space="preserve">further </w:t>
            </w:r>
            <w:r w:rsidR="009233C7" w:rsidRPr="007C319B">
              <w:rPr>
                <w:rFonts w:cstheme="minorHAnsi"/>
                <w:sz w:val="20"/>
                <w:szCs w:val="20"/>
              </w:rPr>
              <w:t>details</w:t>
            </w:r>
            <w:r w:rsidRPr="007C319B">
              <w:rPr>
                <w:rFonts w:cstheme="minorHAnsi"/>
                <w:sz w:val="20"/>
                <w:szCs w:val="20"/>
              </w:rPr>
              <w:t>.</w:t>
            </w:r>
          </w:p>
        </w:tc>
        <w:tc>
          <w:tcPr>
            <w:tcW w:w="4931" w:type="dxa"/>
          </w:tcPr>
          <w:p w14:paraId="602CA0BC" w14:textId="7A4CE9D8" w:rsidR="001B4EC8" w:rsidRPr="007C319B" w:rsidRDefault="001B4EC8" w:rsidP="001B4EC8">
            <w:pPr>
              <w:rPr>
                <w:rFonts w:cstheme="minorHAnsi"/>
                <w:sz w:val="20"/>
              </w:rPr>
            </w:pPr>
          </w:p>
        </w:tc>
        <w:tc>
          <w:tcPr>
            <w:tcW w:w="2551" w:type="dxa"/>
          </w:tcPr>
          <w:p w14:paraId="495DA56F" w14:textId="0147992A" w:rsidR="001B4EC8" w:rsidRPr="007C319B" w:rsidRDefault="001B4EC8" w:rsidP="001B4EC8">
            <w:pPr>
              <w:rPr>
                <w:rFonts w:cstheme="minorHAnsi"/>
                <w:sz w:val="20"/>
              </w:rPr>
            </w:pPr>
          </w:p>
        </w:tc>
        <w:tc>
          <w:tcPr>
            <w:tcW w:w="1926" w:type="dxa"/>
          </w:tcPr>
          <w:p w14:paraId="2B1F2E01" w14:textId="3E9DFF8C" w:rsidR="001B4EC8" w:rsidRPr="007C319B" w:rsidRDefault="001B4EC8" w:rsidP="001B4EC8">
            <w:pPr>
              <w:rPr>
                <w:rFonts w:cstheme="minorHAnsi"/>
                <w:sz w:val="20"/>
              </w:rPr>
            </w:pPr>
          </w:p>
        </w:tc>
      </w:tr>
      <w:tr w:rsidR="001B4EC8" w14:paraId="76310833" w14:textId="77777777" w:rsidTr="009737E5">
        <w:tc>
          <w:tcPr>
            <w:tcW w:w="1417" w:type="dxa"/>
          </w:tcPr>
          <w:p w14:paraId="0E6FC3E1" w14:textId="2D5E530D" w:rsidR="001B4EC8" w:rsidRPr="007C319B" w:rsidRDefault="001B4EC8" w:rsidP="001B4EC8">
            <w:pPr>
              <w:rPr>
                <w:rFonts w:cstheme="minorHAnsi"/>
                <w:b/>
                <w:sz w:val="18"/>
              </w:rPr>
            </w:pPr>
            <w:r w:rsidRPr="007C319B">
              <w:rPr>
                <w:rFonts w:cstheme="minorHAnsi"/>
                <w:b/>
                <w:sz w:val="18"/>
              </w:rPr>
              <w:t xml:space="preserve">Silver </w:t>
            </w:r>
            <w:proofErr w:type="spellStart"/>
            <w:r w:rsidRPr="007C319B">
              <w:rPr>
                <w:rFonts w:cstheme="minorHAnsi"/>
                <w:b/>
                <w:sz w:val="18"/>
              </w:rPr>
              <w:t>warehou</w:t>
            </w:r>
            <w:proofErr w:type="spellEnd"/>
          </w:p>
        </w:tc>
        <w:tc>
          <w:tcPr>
            <w:tcW w:w="1135" w:type="dxa"/>
          </w:tcPr>
          <w:p w14:paraId="70BA3792" w14:textId="16A4E434" w:rsidR="001B4EC8" w:rsidRPr="007C319B" w:rsidRDefault="001B4EC8" w:rsidP="001B4EC8">
            <w:pPr>
              <w:rPr>
                <w:rFonts w:cstheme="minorHAnsi"/>
                <w:sz w:val="18"/>
              </w:rPr>
            </w:pPr>
            <w:r w:rsidRPr="007C319B">
              <w:rPr>
                <w:rFonts w:cstheme="minorHAnsi"/>
                <w:sz w:val="18"/>
              </w:rPr>
              <w:t>SWA3,4</w:t>
            </w:r>
          </w:p>
        </w:tc>
        <w:tc>
          <w:tcPr>
            <w:tcW w:w="2866" w:type="dxa"/>
          </w:tcPr>
          <w:p w14:paraId="32F2DC05" w14:textId="50D7A27C" w:rsidR="001B4EC8" w:rsidRPr="007C319B" w:rsidRDefault="001B4EC8" w:rsidP="001B4EC8">
            <w:pPr>
              <w:rPr>
                <w:rFonts w:cstheme="minorHAnsi"/>
                <w:sz w:val="20"/>
              </w:rPr>
            </w:pPr>
          </w:p>
        </w:tc>
        <w:tc>
          <w:tcPr>
            <w:tcW w:w="4931" w:type="dxa"/>
          </w:tcPr>
          <w:p w14:paraId="29EF6896" w14:textId="580986FA" w:rsidR="001B4EC8" w:rsidRPr="007C319B" w:rsidRDefault="001B4EC8" w:rsidP="001B4EC8">
            <w:pPr>
              <w:rPr>
                <w:rFonts w:cstheme="minorHAnsi"/>
                <w:sz w:val="20"/>
              </w:rPr>
            </w:pPr>
          </w:p>
        </w:tc>
        <w:tc>
          <w:tcPr>
            <w:tcW w:w="2551" w:type="dxa"/>
          </w:tcPr>
          <w:p w14:paraId="70AF758C" w14:textId="77777777" w:rsidR="001B4EC8" w:rsidRPr="007C319B" w:rsidRDefault="001B4EC8" w:rsidP="001B4EC8">
            <w:pPr>
              <w:rPr>
                <w:rFonts w:cstheme="minorHAnsi"/>
                <w:sz w:val="20"/>
              </w:rPr>
            </w:pPr>
          </w:p>
        </w:tc>
        <w:tc>
          <w:tcPr>
            <w:tcW w:w="1926" w:type="dxa"/>
          </w:tcPr>
          <w:p w14:paraId="608C01E1" w14:textId="33737DD7" w:rsidR="001B4EC8" w:rsidRPr="007C319B" w:rsidRDefault="001B4EC8" w:rsidP="001B4EC8">
            <w:pPr>
              <w:rPr>
                <w:rFonts w:cstheme="minorHAnsi"/>
                <w:sz w:val="20"/>
              </w:rPr>
            </w:pPr>
          </w:p>
        </w:tc>
      </w:tr>
      <w:tr w:rsidR="001B4EC8" w14:paraId="259C1D4E" w14:textId="77777777" w:rsidTr="009737E5">
        <w:tc>
          <w:tcPr>
            <w:tcW w:w="1417" w:type="dxa"/>
          </w:tcPr>
          <w:p w14:paraId="52148935" w14:textId="6631A09D" w:rsidR="001B4EC8" w:rsidRPr="007C319B" w:rsidRDefault="001B4EC8" w:rsidP="001B4EC8">
            <w:pPr>
              <w:rPr>
                <w:rFonts w:cstheme="minorHAnsi"/>
                <w:b/>
                <w:sz w:val="18"/>
              </w:rPr>
            </w:pPr>
            <w:r w:rsidRPr="007C319B">
              <w:rPr>
                <w:rFonts w:cstheme="minorHAnsi"/>
                <w:b/>
                <w:sz w:val="18"/>
              </w:rPr>
              <w:t>Bluenose</w:t>
            </w:r>
          </w:p>
        </w:tc>
        <w:tc>
          <w:tcPr>
            <w:tcW w:w="1135" w:type="dxa"/>
          </w:tcPr>
          <w:p w14:paraId="78E099AE" w14:textId="2205FD1C" w:rsidR="001B4EC8" w:rsidRPr="007C319B" w:rsidRDefault="001B4EC8" w:rsidP="001B4EC8">
            <w:pPr>
              <w:rPr>
                <w:rFonts w:cstheme="minorHAnsi"/>
                <w:sz w:val="18"/>
              </w:rPr>
            </w:pPr>
            <w:r w:rsidRPr="007C319B">
              <w:rPr>
                <w:rFonts w:cstheme="minorHAnsi"/>
                <w:sz w:val="18"/>
              </w:rPr>
              <w:t>BNS7</w:t>
            </w:r>
          </w:p>
        </w:tc>
        <w:tc>
          <w:tcPr>
            <w:tcW w:w="2866" w:type="dxa"/>
          </w:tcPr>
          <w:p w14:paraId="5B74A9D6" w14:textId="5ACBEB32" w:rsidR="001B4EC8" w:rsidRPr="007C319B" w:rsidRDefault="001B4EC8" w:rsidP="001B4EC8">
            <w:pPr>
              <w:rPr>
                <w:rFonts w:cstheme="minorHAnsi"/>
                <w:sz w:val="20"/>
              </w:rPr>
            </w:pPr>
          </w:p>
        </w:tc>
        <w:tc>
          <w:tcPr>
            <w:tcW w:w="4931" w:type="dxa"/>
          </w:tcPr>
          <w:p w14:paraId="25A459E0" w14:textId="5C0AB6B4" w:rsidR="001B4EC8" w:rsidRPr="007C319B" w:rsidRDefault="001B4EC8" w:rsidP="001B4EC8">
            <w:pPr>
              <w:rPr>
                <w:rFonts w:cstheme="minorHAnsi"/>
                <w:sz w:val="20"/>
              </w:rPr>
            </w:pPr>
          </w:p>
        </w:tc>
        <w:tc>
          <w:tcPr>
            <w:tcW w:w="2551" w:type="dxa"/>
          </w:tcPr>
          <w:p w14:paraId="409F4D7B" w14:textId="77777777" w:rsidR="001B4EC8" w:rsidRPr="007C319B" w:rsidRDefault="001B4EC8" w:rsidP="001B4EC8">
            <w:pPr>
              <w:rPr>
                <w:rFonts w:cstheme="minorHAnsi"/>
                <w:sz w:val="20"/>
              </w:rPr>
            </w:pPr>
          </w:p>
        </w:tc>
        <w:tc>
          <w:tcPr>
            <w:tcW w:w="1926" w:type="dxa"/>
          </w:tcPr>
          <w:p w14:paraId="2D18A5C4" w14:textId="61ACE378" w:rsidR="001B4EC8" w:rsidRPr="007C319B" w:rsidRDefault="001B4EC8" w:rsidP="001B4EC8">
            <w:pPr>
              <w:rPr>
                <w:rFonts w:cstheme="minorHAnsi"/>
                <w:sz w:val="20"/>
              </w:rPr>
            </w:pPr>
          </w:p>
        </w:tc>
      </w:tr>
      <w:tr w:rsidR="001B4EC8" w14:paraId="20EA4190" w14:textId="77777777" w:rsidTr="009737E5">
        <w:tc>
          <w:tcPr>
            <w:tcW w:w="1417" w:type="dxa"/>
          </w:tcPr>
          <w:p w14:paraId="711D0FA7" w14:textId="58FF5218" w:rsidR="001B4EC8" w:rsidRPr="007C319B" w:rsidRDefault="001B4EC8" w:rsidP="001B4EC8">
            <w:pPr>
              <w:rPr>
                <w:rFonts w:cstheme="minorHAnsi"/>
                <w:b/>
                <w:sz w:val="18"/>
              </w:rPr>
            </w:pPr>
            <w:r w:rsidRPr="007C319B">
              <w:rPr>
                <w:rFonts w:cstheme="minorHAnsi"/>
                <w:b/>
                <w:sz w:val="18"/>
              </w:rPr>
              <w:t>Cardinalfish</w:t>
            </w:r>
          </w:p>
        </w:tc>
        <w:tc>
          <w:tcPr>
            <w:tcW w:w="1135" w:type="dxa"/>
          </w:tcPr>
          <w:p w14:paraId="02EE5D1A" w14:textId="72D1C009" w:rsidR="001B4EC8" w:rsidRPr="007C319B" w:rsidRDefault="001B4EC8" w:rsidP="001B4EC8">
            <w:pPr>
              <w:rPr>
                <w:rFonts w:cstheme="minorHAnsi"/>
                <w:sz w:val="18"/>
              </w:rPr>
            </w:pPr>
            <w:r w:rsidRPr="007C319B">
              <w:rPr>
                <w:rFonts w:cstheme="minorHAnsi"/>
                <w:sz w:val="18"/>
              </w:rPr>
              <w:t>CDL5</w:t>
            </w:r>
          </w:p>
        </w:tc>
        <w:tc>
          <w:tcPr>
            <w:tcW w:w="2866" w:type="dxa"/>
          </w:tcPr>
          <w:p w14:paraId="0D76636C" w14:textId="5640769F" w:rsidR="001B4EC8" w:rsidRPr="007C319B" w:rsidRDefault="001B4EC8" w:rsidP="001B4EC8">
            <w:pPr>
              <w:rPr>
                <w:rFonts w:cstheme="minorHAnsi"/>
                <w:sz w:val="20"/>
              </w:rPr>
            </w:pPr>
          </w:p>
        </w:tc>
        <w:tc>
          <w:tcPr>
            <w:tcW w:w="4931" w:type="dxa"/>
          </w:tcPr>
          <w:p w14:paraId="11D0E9D3" w14:textId="5A10EC27" w:rsidR="001B4EC8" w:rsidRPr="007C319B" w:rsidRDefault="001B4EC8" w:rsidP="001B4EC8">
            <w:pPr>
              <w:rPr>
                <w:rFonts w:cstheme="minorHAnsi"/>
                <w:sz w:val="20"/>
              </w:rPr>
            </w:pPr>
          </w:p>
        </w:tc>
        <w:tc>
          <w:tcPr>
            <w:tcW w:w="2551" w:type="dxa"/>
          </w:tcPr>
          <w:p w14:paraId="044E257D" w14:textId="77777777" w:rsidR="001B4EC8" w:rsidRPr="007C319B" w:rsidRDefault="001B4EC8" w:rsidP="001B4EC8">
            <w:pPr>
              <w:rPr>
                <w:rFonts w:cstheme="minorHAnsi"/>
                <w:sz w:val="20"/>
              </w:rPr>
            </w:pPr>
          </w:p>
        </w:tc>
        <w:tc>
          <w:tcPr>
            <w:tcW w:w="1926" w:type="dxa"/>
          </w:tcPr>
          <w:p w14:paraId="16A707FD" w14:textId="6EA9D49B" w:rsidR="001B4EC8" w:rsidRPr="007C319B" w:rsidRDefault="001B4EC8" w:rsidP="001B4EC8">
            <w:pPr>
              <w:rPr>
                <w:rFonts w:cstheme="minorHAnsi"/>
                <w:sz w:val="20"/>
              </w:rPr>
            </w:pPr>
          </w:p>
        </w:tc>
      </w:tr>
      <w:tr w:rsidR="001B4EC8" w14:paraId="0E2C9DF7" w14:textId="77777777" w:rsidTr="009737E5">
        <w:trPr>
          <w:trHeight w:val="437"/>
        </w:trPr>
        <w:tc>
          <w:tcPr>
            <w:tcW w:w="1417" w:type="dxa"/>
          </w:tcPr>
          <w:p w14:paraId="55E2042F" w14:textId="50C1B6E0" w:rsidR="001B4EC8" w:rsidRPr="007C319B" w:rsidRDefault="001B4EC8" w:rsidP="001B4EC8">
            <w:pPr>
              <w:rPr>
                <w:rFonts w:cstheme="minorHAnsi"/>
                <w:b/>
                <w:sz w:val="18"/>
              </w:rPr>
            </w:pPr>
            <w:r w:rsidRPr="007C319B">
              <w:rPr>
                <w:rFonts w:cstheme="minorHAnsi"/>
                <w:b/>
                <w:sz w:val="18"/>
              </w:rPr>
              <w:t>Jack mackerel</w:t>
            </w:r>
          </w:p>
        </w:tc>
        <w:tc>
          <w:tcPr>
            <w:tcW w:w="1135" w:type="dxa"/>
          </w:tcPr>
          <w:p w14:paraId="5AC754DE" w14:textId="14A5D084" w:rsidR="001B4EC8" w:rsidRPr="007C319B" w:rsidRDefault="001B4EC8" w:rsidP="001B4EC8">
            <w:pPr>
              <w:rPr>
                <w:rFonts w:cstheme="minorHAnsi"/>
                <w:sz w:val="18"/>
              </w:rPr>
            </w:pPr>
            <w:r w:rsidRPr="007C319B">
              <w:rPr>
                <w:rFonts w:cstheme="minorHAnsi"/>
                <w:sz w:val="18"/>
              </w:rPr>
              <w:t>JMA7</w:t>
            </w:r>
          </w:p>
        </w:tc>
        <w:tc>
          <w:tcPr>
            <w:tcW w:w="2866" w:type="dxa"/>
          </w:tcPr>
          <w:p w14:paraId="2C0FA1AA" w14:textId="5889CB65" w:rsidR="001B4EC8" w:rsidRPr="007C319B" w:rsidRDefault="001B4EC8" w:rsidP="001B4EC8">
            <w:pPr>
              <w:rPr>
                <w:rFonts w:cstheme="minorHAnsi"/>
                <w:sz w:val="20"/>
              </w:rPr>
            </w:pPr>
          </w:p>
        </w:tc>
        <w:tc>
          <w:tcPr>
            <w:tcW w:w="4931" w:type="dxa"/>
          </w:tcPr>
          <w:p w14:paraId="6EB9C881" w14:textId="62B1C2C4" w:rsidR="001B4EC8" w:rsidRPr="007C319B" w:rsidRDefault="001B4EC8" w:rsidP="001B4EC8">
            <w:pPr>
              <w:rPr>
                <w:rFonts w:cstheme="minorHAnsi"/>
                <w:sz w:val="20"/>
              </w:rPr>
            </w:pPr>
          </w:p>
        </w:tc>
        <w:tc>
          <w:tcPr>
            <w:tcW w:w="2551" w:type="dxa"/>
          </w:tcPr>
          <w:p w14:paraId="56AF5F9B" w14:textId="77777777" w:rsidR="001B4EC8" w:rsidRPr="007C319B" w:rsidRDefault="001B4EC8" w:rsidP="001B4EC8">
            <w:pPr>
              <w:rPr>
                <w:rFonts w:cstheme="minorHAnsi"/>
                <w:sz w:val="20"/>
              </w:rPr>
            </w:pPr>
          </w:p>
        </w:tc>
        <w:tc>
          <w:tcPr>
            <w:tcW w:w="1926" w:type="dxa"/>
          </w:tcPr>
          <w:p w14:paraId="684DDD38" w14:textId="57399253" w:rsidR="001B4EC8" w:rsidRPr="007C319B" w:rsidRDefault="001B4EC8" w:rsidP="001B4EC8">
            <w:pPr>
              <w:rPr>
                <w:rFonts w:cstheme="minorHAnsi"/>
                <w:sz w:val="20"/>
              </w:rPr>
            </w:pPr>
          </w:p>
        </w:tc>
      </w:tr>
      <w:tr w:rsidR="001B4EC8" w14:paraId="14147AAA" w14:textId="77777777" w:rsidTr="009737E5">
        <w:tc>
          <w:tcPr>
            <w:tcW w:w="1417" w:type="dxa"/>
          </w:tcPr>
          <w:p w14:paraId="60B4C06E" w14:textId="1C16E82A" w:rsidR="001B4EC8" w:rsidRPr="007C319B" w:rsidRDefault="001B4EC8" w:rsidP="001B4EC8">
            <w:pPr>
              <w:rPr>
                <w:rFonts w:cstheme="minorHAnsi"/>
                <w:b/>
                <w:sz w:val="18"/>
              </w:rPr>
            </w:pPr>
            <w:r w:rsidRPr="007C319B">
              <w:rPr>
                <w:rFonts w:cstheme="minorHAnsi"/>
                <w:b/>
                <w:sz w:val="18"/>
              </w:rPr>
              <w:t>Kingfish</w:t>
            </w:r>
          </w:p>
        </w:tc>
        <w:tc>
          <w:tcPr>
            <w:tcW w:w="1135" w:type="dxa"/>
          </w:tcPr>
          <w:p w14:paraId="1147228A" w14:textId="5606BDED" w:rsidR="001B4EC8" w:rsidRPr="007C319B" w:rsidRDefault="001B4EC8" w:rsidP="001B4EC8">
            <w:pPr>
              <w:rPr>
                <w:rFonts w:cstheme="minorHAnsi"/>
                <w:sz w:val="18"/>
              </w:rPr>
            </w:pPr>
            <w:r w:rsidRPr="007C319B">
              <w:rPr>
                <w:rFonts w:cstheme="minorHAnsi"/>
                <w:sz w:val="18"/>
              </w:rPr>
              <w:t>KIN3</w:t>
            </w:r>
          </w:p>
        </w:tc>
        <w:tc>
          <w:tcPr>
            <w:tcW w:w="2866" w:type="dxa"/>
          </w:tcPr>
          <w:p w14:paraId="7104D528" w14:textId="5A9FBAC8" w:rsidR="001B4EC8" w:rsidRPr="007C319B" w:rsidRDefault="001B4EC8" w:rsidP="001B4EC8">
            <w:pPr>
              <w:rPr>
                <w:rFonts w:cstheme="minorHAnsi"/>
                <w:sz w:val="20"/>
              </w:rPr>
            </w:pPr>
          </w:p>
        </w:tc>
        <w:tc>
          <w:tcPr>
            <w:tcW w:w="4931" w:type="dxa"/>
          </w:tcPr>
          <w:p w14:paraId="6172553E" w14:textId="008C1631" w:rsidR="001B4EC8" w:rsidRPr="007C319B" w:rsidRDefault="001B4EC8" w:rsidP="001B4EC8">
            <w:pPr>
              <w:rPr>
                <w:rFonts w:cstheme="minorHAnsi"/>
                <w:sz w:val="20"/>
              </w:rPr>
            </w:pPr>
          </w:p>
        </w:tc>
        <w:tc>
          <w:tcPr>
            <w:tcW w:w="2551" w:type="dxa"/>
          </w:tcPr>
          <w:p w14:paraId="42657942" w14:textId="77777777" w:rsidR="001B4EC8" w:rsidRPr="007C319B" w:rsidRDefault="001B4EC8" w:rsidP="001B4EC8">
            <w:pPr>
              <w:rPr>
                <w:rFonts w:cstheme="minorHAnsi"/>
                <w:sz w:val="20"/>
              </w:rPr>
            </w:pPr>
          </w:p>
        </w:tc>
        <w:tc>
          <w:tcPr>
            <w:tcW w:w="1926" w:type="dxa"/>
          </w:tcPr>
          <w:p w14:paraId="7A3D1325" w14:textId="22C6DEFE" w:rsidR="001B4EC8" w:rsidRPr="007C319B" w:rsidRDefault="001B4EC8" w:rsidP="001B4EC8">
            <w:pPr>
              <w:rPr>
                <w:rFonts w:cstheme="minorHAnsi"/>
                <w:sz w:val="20"/>
              </w:rPr>
            </w:pPr>
          </w:p>
        </w:tc>
      </w:tr>
      <w:tr w:rsidR="001B4EC8" w14:paraId="53C2C11A" w14:textId="77777777" w:rsidTr="009737E5">
        <w:tc>
          <w:tcPr>
            <w:tcW w:w="1417" w:type="dxa"/>
          </w:tcPr>
          <w:p w14:paraId="70B287EC" w14:textId="35AE0575" w:rsidR="001B4EC8" w:rsidRPr="007C319B" w:rsidRDefault="001B4EC8" w:rsidP="001B4EC8">
            <w:pPr>
              <w:rPr>
                <w:rFonts w:cstheme="minorHAnsi"/>
                <w:b/>
                <w:sz w:val="18"/>
              </w:rPr>
            </w:pPr>
            <w:proofErr w:type="spellStart"/>
            <w:r w:rsidRPr="007C319B">
              <w:rPr>
                <w:rFonts w:cstheme="minorHAnsi"/>
                <w:b/>
                <w:sz w:val="18"/>
              </w:rPr>
              <w:t>Rubyfish</w:t>
            </w:r>
            <w:proofErr w:type="spellEnd"/>
          </w:p>
        </w:tc>
        <w:tc>
          <w:tcPr>
            <w:tcW w:w="1135" w:type="dxa"/>
          </w:tcPr>
          <w:p w14:paraId="0C156378" w14:textId="51BD8BBE" w:rsidR="001B4EC8" w:rsidRPr="007C319B" w:rsidRDefault="001B4EC8" w:rsidP="001B4EC8">
            <w:pPr>
              <w:rPr>
                <w:rFonts w:cstheme="minorHAnsi"/>
                <w:sz w:val="18"/>
              </w:rPr>
            </w:pPr>
            <w:r w:rsidRPr="007C319B">
              <w:rPr>
                <w:rFonts w:cstheme="minorHAnsi"/>
                <w:sz w:val="18"/>
              </w:rPr>
              <w:t>RBY5 +6</w:t>
            </w:r>
          </w:p>
        </w:tc>
        <w:tc>
          <w:tcPr>
            <w:tcW w:w="2866" w:type="dxa"/>
          </w:tcPr>
          <w:p w14:paraId="2B95BA74" w14:textId="51C92A58" w:rsidR="001B4EC8" w:rsidRPr="007C319B" w:rsidRDefault="001B4EC8" w:rsidP="001B4EC8">
            <w:pPr>
              <w:rPr>
                <w:rFonts w:cstheme="minorHAnsi"/>
                <w:sz w:val="20"/>
              </w:rPr>
            </w:pPr>
          </w:p>
        </w:tc>
        <w:tc>
          <w:tcPr>
            <w:tcW w:w="4931" w:type="dxa"/>
          </w:tcPr>
          <w:p w14:paraId="2A1EAF09" w14:textId="1E6CDF8F" w:rsidR="001B4EC8" w:rsidRPr="007C319B" w:rsidRDefault="001B4EC8" w:rsidP="001B4EC8">
            <w:pPr>
              <w:rPr>
                <w:rFonts w:cstheme="minorHAnsi"/>
                <w:sz w:val="20"/>
              </w:rPr>
            </w:pPr>
          </w:p>
        </w:tc>
        <w:tc>
          <w:tcPr>
            <w:tcW w:w="2551" w:type="dxa"/>
          </w:tcPr>
          <w:p w14:paraId="16BA09D5" w14:textId="77777777" w:rsidR="001B4EC8" w:rsidRPr="007C319B" w:rsidRDefault="001B4EC8" w:rsidP="001B4EC8">
            <w:pPr>
              <w:rPr>
                <w:rFonts w:cstheme="minorHAnsi"/>
                <w:sz w:val="20"/>
              </w:rPr>
            </w:pPr>
          </w:p>
        </w:tc>
        <w:tc>
          <w:tcPr>
            <w:tcW w:w="1926" w:type="dxa"/>
          </w:tcPr>
          <w:p w14:paraId="762DBD44" w14:textId="30BB2653" w:rsidR="001B4EC8" w:rsidRPr="007C319B" w:rsidRDefault="001B4EC8" w:rsidP="001B4EC8">
            <w:pPr>
              <w:rPr>
                <w:rFonts w:cstheme="minorHAnsi"/>
                <w:sz w:val="20"/>
              </w:rPr>
            </w:pPr>
          </w:p>
        </w:tc>
      </w:tr>
      <w:tr w:rsidR="001B4EC8" w14:paraId="11796713" w14:textId="77777777" w:rsidTr="009737E5">
        <w:tc>
          <w:tcPr>
            <w:tcW w:w="1417" w:type="dxa"/>
          </w:tcPr>
          <w:p w14:paraId="7176F5C2" w14:textId="71153731" w:rsidR="001B4EC8" w:rsidRPr="007C319B" w:rsidRDefault="001B4EC8" w:rsidP="001B4EC8">
            <w:pPr>
              <w:rPr>
                <w:rFonts w:cstheme="minorHAnsi"/>
                <w:b/>
                <w:sz w:val="18"/>
              </w:rPr>
            </w:pPr>
            <w:r w:rsidRPr="007C319B">
              <w:rPr>
                <w:rFonts w:cstheme="minorHAnsi"/>
                <w:b/>
                <w:sz w:val="18"/>
              </w:rPr>
              <w:t>Trevally</w:t>
            </w:r>
          </w:p>
        </w:tc>
        <w:tc>
          <w:tcPr>
            <w:tcW w:w="1135" w:type="dxa"/>
          </w:tcPr>
          <w:p w14:paraId="7BBF0238" w14:textId="709C37F0" w:rsidR="001B4EC8" w:rsidRPr="007C319B" w:rsidRDefault="001B4EC8" w:rsidP="001B4EC8">
            <w:pPr>
              <w:rPr>
                <w:rFonts w:cstheme="minorHAnsi"/>
                <w:sz w:val="18"/>
              </w:rPr>
            </w:pPr>
            <w:r w:rsidRPr="007C319B">
              <w:rPr>
                <w:rFonts w:cstheme="minorHAnsi"/>
                <w:sz w:val="18"/>
              </w:rPr>
              <w:t>TRE1</w:t>
            </w:r>
          </w:p>
        </w:tc>
        <w:tc>
          <w:tcPr>
            <w:tcW w:w="2866" w:type="dxa"/>
          </w:tcPr>
          <w:p w14:paraId="69C50A2A" w14:textId="356ACD38" w:rsidR="001B4EC8" w:rsidRPr="007C319B" w:rsidRDefault="001B4EC8" w:rsidP="001B4EC8">
            <w:pPr>
              <w:rPr>
                <w:rFonts w:cstheme="minorHAnsi"/>
                <w:sz w:val="20"/>
              </w:rPr>
            </w:pPr>
          </w:p>
        </w:tc>
        <w:tc>
          <w:tcPr>
            <w:tcW w:w="4931" w:type="dxa"/>
          </w:tcPr>
          <w:p w14:paraId="4723D5C8" w14:textId="5D4FB143" w:rsidR="001B4EC8" w:rsidRPr="007C319B" w:rsidRDefault="001B4EC8" w:rsidP="001B4EC8">
            <w:pPr>
              <w:rPr>
                <w:rFonts w:cstheme="minorHAnsi"/>
                <w:sz w:val="20"/>
              </w:rPr>
            </w:pPr>
          </w:p>
        </w:tc>
        <w:tc>
          <w:tcPr>
            <w:tcW w:w="2551" w:type="dxa"/>
          </w:tcPr>
          <w:p w14:paraId="77EA1652" w14:textId="77777777" w:rsidR="001B4EC8" w:rsidRPr="007C319B" w:rsidRDefault="001B4EC8" w:rsidP="001B4EC8">
            <w:pPr>
              <w:rPr>
                <w:rFonts w:cstheme="minorHAnsi"/>
                <w:sz w:val="20"/>
              </w:rPr>
            </w:pPr>
          </w:p>
        </w:tc>
        <w:tc>
          <w:tcPr>
            <w:tcW w:w="1926" w:type="dxa"/>
          </w:tcPr>
          <w:p w14:paraId="44CD4268" w14:textId="6990ED3C" w:rsidR="001B4EC8" w:rsidRPr="007C319B" w:rsidRDefault="001B4EC8" w:rsidP="001B4EC8">
            <w:pPr>
              <w:rPr>
                <w:rFonts w:cstheme="minorHAnsi"/>
                <w:sz w:val="20"/>
              </w:rPr>
            </w:pPr>
          </w:p>
        </w:tc>
      </w:tr>
      <w:tr w:rsidR="001B4EC8" w14:paraId="32EBBD9E" w14:textId="77777777" w:rsidTr="009737E5">
        <w:tc>
          <w:tcPr>
            <w:tcW w:w="1417" w:type="dxa"/>
          </w:tcPr>
          <w:p w14:paraId="79740ED4" w14:textId="341AEA86" w:rsidR="001B4EC8" w:rsidRPr="007C319B" w:rsidRDefault="001B4EC8" w:rsidP="001B4EC8">
            <w:pPr>
              <w:rPr>
                <w:rFonts w:cstheme="minorHAnsi"/>
                <w:b/>
                <w:sz w:val="18"/>
              </w:rPr>
            </w:pPr>
          </w:p>
        </w:tc>
        <w:tc>
          <w:tcPr>
            <w:tcW w:w="1135" w:type="dxa"/>
          </w:tcPr>
          <w:p w14:paraId="7469CD6E" w14:textId="07A3E5BC" w:rsidR="001B4EC8" w:rsidRPr="007C319B" w:rsidRDefault="001B4EC8" w:rsidP="001B4EC8">
            <w:pPr>
              <w:rPr>
                <w:rFonts w:cstheme="minorHAnsi"/>
                <w:sz w:val="18"/>
              </w:rPr>
            </w:pPr>
          </w:p>
        </w:tc>
        <w:tc>
          <w:tcPr>
            <w:tcW w:w="2866" w:type="dxa"/>
          </w:tcPr>
          <w:p w14:paraId="19FADCE4" w14:textId="1CDDDA9F" w:rsidR="001B4EC8" w:rsidRPr="007C319B" w:rsidRDefault="001B4EC8" w:rsidP="001B4EC8">
            <w:pPr>
              <w:rPr>
                <w:rFonts w:cstheme="minorHAnsi"/>
                <w:sz w:val="20"/>
              </w:rPr>
            </w:pPr>
          </w:p>
        </w:tc>
        <w:tc>
          <w:tcPr>
            <w:tcW w:w="4931" w:type="dxa"/>
          </w:tcPr>
          <w:p w14:paraId="47F8C7E8" w14:textId="0618C5C1" w:rsidR="001B4EC8" w:rsidRPr="007C319B" w:rsidRDefault="001B4EC8" w:rsidP="001B4EC8">
            <w:pPr>
              <w:rPr>
                <w:rFonts w:cstheme="minorHAnsi"/>
                <w:sz w:val="20"/>
              </w:rPr>
            </w:pPr>
          </w:p>
        </w:tc>
        <w:tc>
          <w:tcPr>
            <w:tcW w:w="2551" w:type="dxa"/>
          </w:tcPr>
          <w:p w14:paraId="4850ED44" w14:textId="77777777" w:rsidR="001B4EC8" w:rsidRPr="007C319B" w:rsidRDefault="001B4EC8" w:rsidP="001B4EC8">
            <w:pPr>
              <w:rPr>
                <w:rFonts w:cstheme="minorHAnsi"/>
                <w:sz w:val="20"/>
              </w:rPr>
            </w:pPr>
          </w:p>
        </w:tc>
        <w:tc>
          <w:tcPr>
            <w:tcW w:w="1926" w:type="dxa"/>
          </w:tcPr>
          <w:p w14:paraId="2E19E826" w14:textId="670BBCA5" w:rsidR="001B4EC8" w:rsidRPr="007C319B" w:rsidRDefault="001B4EC8" w:rsidP="001B4EC8">
            <w:pPr>
              <w:rPr>
                <w:rFonts w:cstheme="minorHAnsi"/>
                <w:sz w:val="20"/>
              </w:rPr>
            </w:pPr>
          </w:p>
        </w:tc>
      </w:tr>
    </w:tbl>
    <w:p w14:paraId="0F574B30" w14:textId="7F0F676F" w:rsidR="00033BF7" w:rsidRDefault="00033BF7"/>
    <w:sectPr w:rsidR="00033BF7" w:rsidSect="00DE3AD3">
      <w:pgSz w:w="16838" w:h="11906" w:orient="landscape"/>
      <w:pgMar w:top="709" w:right="85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101"/>
    <w:rsid w:val="00003E9B"/>
    <w:rsid w:val="00033BF7"/>
    <w:rsid w:val="00046C6A"/>
    <w:rsid w:val="000836D8"/>
    <w:rsid w:val="00091140"/>
    <w:rsid w:val="000B7353"/>
    <w:rsid w:val="000E6DC8"/>
    <w:rsid w:val="0010160B"/>
    <w:rsid w:val="00113853"/>
    <w:rsid w:val="00117B2E"/>
    <w:rsid w:val="0016541A"/>
    <w:rsid w:val="00171DBA"/>
    <w:rsid w:val="001B4EC8"/>
    <w:rsid w:val="001C220F"/>
    <w:rsid w:val="001F12F6"/>
    <w:rsid w:val="001F3203"/>
    <w:rsid w:val="00234EC1"/>
    <w:rsid w:val="0024134B"/>
    <w:rsid w:val="0025002E"/>
    <w:rsid w:val="00250F51"/>
    <w:rsid w:val="002544A8"/>
    <w:rsid w:val="00274E34"/>
    <w:rsid w:val="00285917"/>
    <w:rsid w:val="002A3419"/>
    <w:rsid w:val="002D00DC"/>
    <w:rsid w:val="002D4689"/>
    <w:rsid w:val="002E6908"/>
    <w:rsid w:val="002F779F"/>
    <w:rsid w:val="00302987"/>
    <w:rsid w:val="00320486"/>
    <w:rsid w:val="00322E16"/>
    <w:rsid w:val="00334E70"/>
    <w:rsid w:val="00362228"/>
    <w:rsid w:val="004214CC"/>
    <w:rsid w:val="00437B2D"/>
    <w:rsid w:val="00482100"/>
    <w:rsid w:val="00497598"/>
    <w:rsid w:val="004A3AF0"/>
    <w:rsid w:val="004A6840"/>
    <w:rsid w:val="004B7D94"/>
    <w:rsid w:val="004F08A8"/>
    <w:rsid w:val="004F747C"/>
    <w:rsid w:val="00503755"/>
    <w:rsid w:val="00541D4C"/>
    <w:rsid w:val="00570745"/>
    <w:rsid w:val="005720CD"/>
    <w:rsid w:val="00572FE4"/>
    <w:rsid w:val="00597D95"/>
    <w:rsid w:val="005B7669"/>
    <w:rsid w:val="006061D4"/>
    <w:rsid w:val="00627BED"/>
    <w:rsid w:val="00635B31"/>
    <w:rsid w:val="00663736"/>
    <w:rsid w:val="00677577"/>
    <w:rsid w:val="00681D27"/>
    <w:rsid w:val="006862DE"/>
    <w:rsid w:val="00692C0B"/>
    <w:rsid w:val="006A2FE4"/>
    <w:rsid w:val="006B72C3"/>
    <w:rsid w:val="006C526D"/>
    <w:rsid w:val="006E624B"/>
    <w:rsid w:val="00723EBC"/>
    <w:rsid w:val="00726E4A"/>
    <w:rsid w:val="00733D52"/>
    <w:rsid w:val="00737BF3"/>
    <w:rsid w:val="00743DFE"/>
    <w:rsid w:val="007607D9"/>
    <w:rsid w:val="007A71E7"/>
    <w:rsid w:val="007A78FA"/>
    <w:rsid w:val="007C03A0"/>
    <w:rsid w:val="007C319B"/>
    <w:rsid w:val="007C3BC3"/>
    <w:rsid w:val="007C6B32"/>
    <w:rsid w:val="007E10E2"/>
    <w:rsid w:val="00821E06"/>
    <w:rsid w:val="00857C03"/>
    <w:rsid w:val="00866BE9"/>
    <w:rsid w:val="00874CD3"/>
    <w:rsid w:val="00887D30"/>
    <w:rsid w:val="008A6BAB"/>
    <w:rsid w:val="008D5DFD"/>
    <w:rsid w:val="008E2FE9"/>
    <w:rsid w:val="008E52B6"/>
    <w:rsid w:val="00906230"/>
    <w:rsid w:val="009233C7"/>
    <w:rsid w:val="00950255"/>
    <w:rsid w:val="009510D5"/>
    <w:rsid w:val="009737E5"/>
    <w:rsid w:val="00981DE1"/>
    <w:rsid w:val="009D2101"/>
    <w:rsid w:val="009D50DA"/>
    <w:rsid w:val="00A00266"/>
    <w:rsid w:val="00A15FA1"/>
    <w:rsid w:val="00A17847"/>
    <w:rsid w:val="00A254EE"/>
    <w:rsid w:val="00A87711"/>
    <w:rsid w:val="00AA13BE"/>
    <w:rsid w:val="00B001F4"/>
    <w:rsid w:val="00B445A6"/>
    <w:rsid w:val="00B52ED4"/>
    <w:rsid w:val="00B55BF7"/>
    <w:rsid w:val="00B71A18"/>
    <w:rsid w:val="00B8271D"/>
    <w:rsid w:val="00B84B03"/>
    <w:rsid w:val="00B91E9D"/>
    <w:rsid w:val="00B95B87"/>
    <w:rsid w:val="00BB6DCA"/>
    <w:rsid w:val="00BE1ECE"/>
    <w:rsid w:val="00BE52BF"/>
    <w:rsid w:val="00BE613D"/>
    <w:rsid w:val="00C20AB6"/>
    <w:rsid w:val="00C22879"/>
    <w:rsid w:val="00C359F4"/>
    <w:rsid w:val="00C40F04"/>
    <w:rsid w:val="00C56DA2"/>
    <w:rsid w:val="00C66014"/>
    <w:rsid w:val="00CB55FB"/>
    <w:rsid w:val="00CB6253"/>
    <w:rsid w:val="00CB7340"/>
    <w:rsid w:val="00CB74B4"/>
    <w:rsid w:val="00CB79E5"/>
    <w:rsid w:val="00CD541E"/>
    <w:rsid w:val="00CF71BE"/>
    <w:rsid w:val="00D01236"/>
    <w:rsid w:val="00D06C2B"/>
    <w:rsid w:val="00D24A2A"/>
    <w:rsid w:val="00D307C4"/>
    <w:rsid w:val="00D3105E"/>
    <w:rsid w:val="00D5327A"/>
    <w:rsid w:val="00D5441A"/>
    <w:rsid w:val="00D576C0"/>
    <w:rsid w:val="00D964EF"/>
    <w:rsid w:val="00DC22D2"/>
    <w:rsid w:val="00DE3AD3"/>
    <w:rsid w:val="00DF4BE1"/>
    <w:rsid w:val="00E0450A"/>
    <w:rsid w:val="00E079FD"/>
    <w:rsid w:val="00E226C3"/>
    <w:rsid w:val="00E67C2B"/>
    <w:rsid w:val="00EB33C3"/>
    <w:rsid w:val="00EE5FD4"/>
    <w:rsid w:val="00EF2AF3"/>
    <w:rsid w:val="00F06247"/>
    <w:rsid w:val="00F24E1D"/>
    <w:rsid w:val="00F346A2"/>
    <w:rsid w:val="00F35854"/>
    <w:rsid w:val="00F50AE3"/>
    <w:rsid w:val="00F72BAB"/>
    <w:rsid w:val="00F858DF"/>
    <w:rsid w:val="00FA166F"/>
    <w:rsid w:val="00FA312B"/>
    <w:rsid w:val="00FA7340"/>
    <w:rsid w:val="00FE630F"/>
    <w:rsid w:val="00FF24E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304C"/>
  <w15:chartTrackingRefBased/>
  <w15:docId w15:val="{68F84F6E-B604-48DF-BFC6-BA9C29AB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2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2BAB"/>
    <w:rPr>
      <w:color w:val="0563C1" w:themeColor="hyperlink"/>
      <w:u w:val="single"/>
    </w:rPr>
  </w:style>
  <w:style w:type="character" w:styleId="UnresolvedMention">
    <w:name w:val="Unresolved Mention"/>
    <w:basedOn w:val="DefaultParagraphFont"/>
    <w:uiPriority w:val="99"/>
    <w:semiHidden/>
    <w:unhideWhenUsed/>
    <w:rsid w:val="00F72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217973">
      <w:bodyDiv w:val="1"/>
      <w:marLeft w:val="0"/>
      <w:marRight w:val="0"/>
      <w:marTop w:val="0"/>
      <w:marBottom w:val="0"/>
      <w:divBdr>
        <w:top w:val="none" w:sz="0" w:space="0" w:color="auto"/>
        <w:left w:val="none" w:sz="0" w:space="0" w:color="auto"/>
        <w:bottom w:val="none" w:sz="0" w:space="0" w:color="auto"/>
        <w:right w:val="none" w:sz="0" w:space="0" w:color="auto"/>
      </w:divBdr>
      <w:divsChild>
        <w:div w:id="467745289">
          <w:marLeft w:val="0"/>
          <w:marRight w:val="0"/>
          <w:marTop w:val="0"/>
          <w:marBottom w:val="0"/>
          <w:divBdr>
            <w:top w:val="none" w:sz="0" w:space="0" w:color="auto"/>
            <w:left w:val="none" w:sz="0" w:space="0" w:color="auto"/>
            <w:bottom w:val="none" w:sz="0" w:space="0" w:color="auto"/>
            <w:right w:val="none" w:sz="0" w:space="0" w:color="auto"/>
          </w:divBdr>
          <w:divsChild>
            <w:div w:id="1530340442">
              <w:marLeft w:val="0"/>
              <w:marRight w:val="0"/>
              <w:marTop w:val="0"/>
              <w:marBottom w:val="0"/>
              <w:divBdr>
                <w:top w:val="none" w:sz="0" w:space="0" w:color="auto"/>
                <w:left w:val="none" w:sz="0" w:space="0" w:color="auto"/>
                <w:bottom w:val="none" w:sz="0" w:space="0" w:color="auto"/>
                <w:right w:val="none" w:sz="0" w:space="0" w:color="auto"/>
              </w:divBdr>
              <w:divsChild>
                <w:div w:id="201676245">
                  <w:marLeft w:val="0"/>
                  <w:marRight w:val="0"/>
                  <w:marTop w:val="0"/>
                  <w:marBottom w:val="0"/>
                  <w:divBdr>
                    <w:top w:val="none" w:sz="0" w:space="0" w:color="auto"/>
                    <w:left w:val="none" w:sz="0" w:space="0" w:color="auto"/>
                    <w:bottom w:val="none" w:sz="0" w:space="0" w:color="auto"/>
                    <w:right w:val="none" w:sz="0" w:space="0" w:color="auto"/>
                  </w:divBdr>
                  <w:divsChild>
                    <w:div w:id="124007191">
                      <w:marLeft w:val="0"/>
                      <w:marRight w:val="0"/>
                      <w:marTop w:val="0"/>
                      <w:marBottom w:val="0"/>
                      <w:divBdr>
                        <w:top w:val="none" w:sz="0" w:space="0" w:color="auto"/>
                        <w:left w:val="none" w:sz="0" w:space="0" w:color="auto"/>
                        <w:bottom w:val="none" w:sz="0" w:space="0" w:color="auto"/>
                        <w:right w:val="none" w:sz="0" w:space="0" w:color="auto"/>
                      </w:divBdr>
                      <w:divsChild>
                        <w:div w:id="1265264674">
                          <w:marLeft w:val="0"/>
                          <w:marRight w:val="0"/>
                          <w:marTop w:val="0"/>
                          <w:marBottom w:val="0"/>
                          <w:divBdr>
                            <w:top w:val="none" w:sz="0" w:space="0" w:color="auto"/>
                            <w:left w:val="none" w:sz="0" w:space="0" w:color="auto"/>
                            <w:bottom w:val="none" w:sz="0" w:space="0" w:color="auto"/>
                            <w:right w:val="none" w:sz="0" w:space="0" w:color="auto"/>
                          </w:divBdr>
                          <w:divsChild>
                            <w:div w:id="1686635145">
                              <w:marLeft w:val="120"/>
                              <w:marRight w:val="300"/>
                              <w:marTop w:val="0"/>
                              <w:marBottom w:val="120"/>
                              <w:divBdr>
                                <w:top w:val="none" w:sz="0" w:space="0" w:color="auto"/>
                                <w:left w:val="none" w:sz="0" w:space="0" w:color="auto"/>
                                <w:bottom w:val="none" w:sz="0" w:space="0" w:color="auto"/>
                                <w:right w:val="none" w:sz="0" w:space="0" w:color="auto"/>
                              </w:divBdr>
                              <w:divsChild>
                                <w:div w:id="771240753">
                                  <w:marLeft w:val="0"/>
                                  <w:marRight w:val="0"/>
                                  <w:marTop w:val="0"/>
                                  <w:marBottom w:val="0"/>
                                  <w:divBdr>
                                    <w:top w:val="none" w:sz="0" w:space="0" w:color="auto"/>
                                    <w:left w:val="none" w:sz="0" w:space="0" w:color="auto"/>
                                    <w:bottom w:val="none" w:sz="0" w:space="0" w:color="auto"/>
                                    <w:right w:val="none" w:sz="0" w:space="0" w:color="auto"/>
                                  </w:divBdr>
                                  <w:divsChild>
                                    <w:div w:id="2108236396">
                                      <w:marLeft w:val="0"/>
                                      <w:marRight w:val="0"/>
                                      <w:marTop w:val="0"/>
                                      <w:marBottom w:val="0"/>
                                      <w:divBdr>
                                        <w:top w:val="none" w:sz="0" w:space="0" w:color="auto"/>
                                        <w:left w:val="none" w:sz="0" w:space="0" w:color="auto"/>
                                        <w:bottom w:val="none" w:sz="0" w:space="0" w:color="auto"/>
                                        <w:right w:val="none" w:sz="0" w:space="0" w:color="auto"/>
                                      </w:divBdr>
                                      <w:divsChild>
                                        <w:div w:id="1800218575">
                                          <w:marLeft w:val="780"/>
                                          <w:marRight w:val="0"/>
                                          <w:marTop w:val="0"/>
                                          <w:marBottom w:val="0"/>
                                          <w:divBdr>
                                            <w:top w:val="none" w:sz="0" w:space="0" w:color="auto"/>
                                            <w:left w:val="none" w:sz="0" w:space="0" w:color="auto"/>
                                            <w:bottom w:val="none" w:sz="0" w:space="0" w:color="auto"/>
                                            <w:right w:val="none" w:sz="0" w:space="0" w:color="auto"/>
                                          </w:divBdr>
                                          <w:divsChild>
                                            <w:div w:id="917400036">
                                              <w:marLeft w:val="0"/>
                                              <w:marRight w:val="0"/>
                                              <w:marTop w:val="0"/>
                                              <w:marBottom w:val="0"/>
                                              <w:divBdr>
                                                <w:top w:val="none" w:sz="0" w:space="0" w:color="auto"/>
                                                <w:left w:val="none" w:sz="0" w:space="0" w:color="auto"/>
                                                <w:bottom w:val="none" w:sz="0" w:space="0" w:color="auto"/>
                                                <w:right w:val="none" w:sz="0" w:space="0" w:color="auto"/>
                                              </w:divBdr>
                                              <w:divsChild>
                                                <w:div w:id="707534211">
                                                  <w:marLeft w:val="0"/>
                                                  <w:marRight w:val="0"/>
                                                  <w:marTop w:val="0"/>
                                                  <w:marBottom w:val="0"/>
                                                  <w:divBdr>
                                                    <w:top w:val="none" w:sz="0" w:space="0" w:color="auto"/>
                                                    <w:left w:val="none" w:sz="0" w:space="0" w:color="auto"/>
                                                    <w:bottom w:val="none" w:sz="0" w:space="0" w:color="auto"/>
                                                    <w:right w:val="none" w:sz="0" w:space="0" w:color="auto"/>
                                                  </w:divBdr>
                                                  <w:divsChild>
                                                    <w:div w:id="1456291031">
                                                      <w:marLeft w:val="0"/>
                                                      <w:marRight w:val="0"/>
                                                      <w:marTop w:val="0"/>
                                                      <w:marBottom w:val="0"/>
                                                      <w:divBdr>
                                                        <w:top w:val="none" w:sz="0" w:space="0" w:color="auto"/>
                                                        <w:left w:val="none" w:sz="0" w:space="0" w:color="auto"/>
                                                        <w:bottom w:val="none" w:sz="0" w:space="0" w:color="auto"/>
                                                        <w:right w:val="none" w:sz="0" w:space="0" w:color="auto"/>
                                                      </w:divBdr>
                                                      <w:divsChild>
                                                        <w:div w:id="1574269252">
                                                          <w:marLeft w:val="0"/>
                                                          <w:marRight w:val="0"/>
                                                          <w:marTop w:val="0"/>
                                                          <w:marBottom w:val="0"/>
                                                          <w:divBdr>
                                                            <w:top w:val="none" w:sz="0" w:space="0" w:color="auto"/>
                                                            <w:left w:val="none" w:sz="0" w:space="0" w:color="auto"/>
                                                            <w:bottom w:val="none" w:sz="0" w:space="0" w:color="auto"/>
                                                            <w:right w:val="none" w:sz="0" w:space="0" w:color="auto"/>
                                                          </w:divBdr>
                                                          <w:divsChild>
                                                            <w:div w:id="1126856318">
                                                              <w:marLeft w:val="0"/>
                                                              <w:marRight w:val="0"/>
                                                              <w:marTop w:val="0"/>
                                                              <w:marBottom w:val="0"/>
                                                              <w:divBdr>
                                                                <w:top w:val="none" w:sz="0" w:space="0" w:color="auto"/>
                                                                <w:left w:val="none" w:sz="0" w:space="0" w:color="auto"/>
                                                                <w:bottom w:val="none" w:sz="0" w:space="0" w:color="auto"/>
                                                                <w:right w:val="none" w:sz="0" w:space="0" w:color="auto"/>
                                                              </w:divBdr>
                                                              <w:divsChild>
                                                                <w:div w:id="1097677089">
                                                                  <w:marLeft w:val="0"/>
                                                                  <w:marRight w:val="0"/>
                                                                  <w:marTop w:val="0"/>
                                                                  <w:marBottom w:val="0"/>
                                                                  <w:divBdr>
                                                                    <w:top w:val="none" w:sz="0" w:space="0" w:color="auto"/>
                                                                    <w:left w:val="none" w:sz="0" w:space="0" w:color="auto"/>
                                                                    <w:bottom w:val="none" w:sz="0" w:space="0" w:color="auto"/>
                                                                    <w:right w:val="none" w:sz="0" w:space="0" w:color="auto"/>
                                                                  </w:divBdr>
                                                                  <w:divsChild>
                                                                    <w:div w:id="613220724">
                                                                      <w:marLeft w:val="0"/>
                                                                      <w:marRight w:val="0"/>
                                                                      <w:marTop w:val="0"/>
                                                                      <w:marBottom w:val="0"/>
                                                                      <w:divBdr>
                                                                        <w:top w:val="none" w:sz="0" w:space="0" w:color="auto"/>
                                                                        <w:left w:val="none" w:sz="0" w:space="0" w:color="auto"/>
                                                                        <w:bottom w:val="none" w:sz="0" w:space="0" w:color="auto"/>
                                                                        <w:right w:val="none" w:sz="0" w:space="0" w:color="auto"/>
                                                                      </w:divBdr>
                                                                      <w:divsChild>
                                                                        <w:div w:id="25373099">
                                                                          <w:marLeft w:val="0"/>
                                                                          <w:marRight w:val="0"/>
                                                                          <w:marTop w:val="0"/>
                                                                          <w:marBottom w:val="0"/>
                                                                          <w:divBdr>
                                                                            <w:top w:val="none" w:sz="0" w:space="0" w:color="auto"/>
                                                                            <w:left w:val="none" w:sz="0" w:space="0" w:color="auto"/>
                                                                            <w:bottom w:val="none" w:sz="0" w:space="0" w:color="auto"/>
                                                                            <w:right w:val="none" w:sz="0" w:space="0" w:color="auto"/>
                                                                          </w:divBdr>
                                                                          <w:divsChild>
                                                                            <w:div w:id="103758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10241">
                                                                      <w:marLeft w:val="0"/>
                                                                      <w:marRight w:val="0"/>
                                                                      <w:marTop w:val="0"/>
                                                                      <w:marBottom w:val="0"/>
                                                                      <w:divBdr>
                                                                        <w:top w:val="none" w:sz="0" w:space="0" w:color="auto"/>
                                                                        <w:left w:val="none" w:sz="0" w:space="0" w:color="auto"/>
                                                                        <w:bottom w:val="none" w:sz="0" w:space="0" w:color="auto"/>
                                                                        <w:right w:val="none" w:sz="0" w:space="0" w:color="auto"/>
                                                                      </w:divBdr>
                                                                      <w:divsChild>
                                                                        <w:div w:id="690640998">
                                                                          <w:marLeft w:val="0"/>
                                                                          <w:marRight w:val="0"/>
                                                                          <w:marTop w:val="0"/>
                                                                          <w:marBottom w:val="0"/>
                                                                          <w:divBdr>
                                                                            <w:top w:val="none" w:sz="0" w:space="0" w:color="auto"/>
                                                                            <w:left w:val="none" w:sz="0" w:space="0" w:color="auto"/>
                                                                            <w:bottom w:val="none" w:sz="0" w:space="0" w:color="auto"/>
                                                                            <w:right w:val="none" w:sz="0" w:space="0" w:color="auto"/>
                                                                          </w:divBdr>
                                                                          <w:divsChild>
                                                                            <w:div w:id="777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05857">
                                                                      <w:marLeft w:val="0"/>
                                                                      <w:marRight w:val="0"/>
                                                                      <w:marTop w:val="0"/>
                                                                      <w:marBottom w:val="0"/>
                                                                      <w:divBdr>
                                                                        <w:top w:val="none" w:sz="0" w:space="0" w:color="auto"/>
                                                                        <w:left w:val="none" w:sz="0" w:space="0" w:color="auto"/>
                                                                        <w:bottom w:val="none" w:sz="0" w:space="0" w:color="auto"/>
                                                                        <w:right w:val="none" w:sz="0" w:space="0" w:color="auto"/>
                                                                      </w:divBdr>
                                                                      <w:divsChild>
                                                                        <w:div w:id="854196448">
                                                                          <w:marLeft w:val="0"/>
                                                                          <w:marRight w:val="0"/>
                                                                          <w:marTop w:val="0"/>
                                                                          <w:marBottom w:val="0"/>
                                                                          <w:divBdr>
                                                                            <w:top w:val="none" w:sz="0" w:space="0" w:color="auto"/>
                                                                            <w:left w:val="none" w:sz="0" w:space="0" w:color="auto"/>
                                                                            <w:bottom w:val="none" w:sz="0" w:space="0" w:color="auto"/>
                                                                            <w:right w:val="none" w:sz="0" w:space="0" w:color="auto"/>
                                                                          </w:divBdr>
                                                                          <w:divsChild>
                                                                            <w:div w:id="68918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66064">
                                                                      <w:marLeft w:val="0"/>
                                                                      <w:marRight w:val="0"/>
                                                                      <w:marTop w:val="0"/>
                                                                      <w:marBottom w:val="0"/>
                                                                      <w:divBdr>
                                                                        <w:top w:val="none" w:sz="0" w:space="0" w:color="auto"/>
                                                                        <w:left w:val="none" w:sz="0" w:space="0" w:color="auto"/>
                                                                        <w:bottom w:val="none" w:sz="0" w:space="0" w:color="auto"/>
                                                                        <w:right w:val="none" w:sz="0" w:space="0" w:color="auto"/>
                                                                      </w:divBdr>
                                                                      <w:divsChild>
                                                                        <w:div w:id="1393650568">
                                                                          <w:marLeft w:val="0"/>
                                                                          <w:marRight w:val="0"/>
                                                                          <w:marTop w:val="0"/>
                                                                          <w:marBottom w:val="0"/>
                                                                          <w:divBdr>
                                                                            <w:top w:val="none" w:sz="0" w:space="0" w:color="auto"/>
                                                                            <w:left w:val="none" w:sz="0" w:space="0" w:color="auto"/>
                                                                            <w:bottom w:val="none" w:sz="0" w:space="0" w:color="auto"/>
                                                                            <w:right w:val="none" w:sz="0" w:space="0" w:color="auto"/>
                                                                          </w:divBdr>
                                                                          <w:divsChild>
                                                                            <w:div w:id="21020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409125">
                                              <w:marLeft w:val="0"/>
                                              <w:marRight w:val="0"/>
                                              <w:marTop w:val="0"/>
                                              <w:marBottom w:val="0"/>
                                              <w:divBdr>
                                                <w:top w:val="none" w:sz="0" w:space="0" w:color="auto"/>
                                                <w:left w:val="none" w:sz="0" w:space="0" w:color="auto"/>
                                                <w:bottom w:val="none" w:sz="0" w:space="0" w:color="auto"/>
                                                <w:right w:val="none" w:sz="0" w:space="0" w:color="auto"/>
                                              </w:divBdr>
                                              <w:divsChild>
                                                <w:div w:id="106972884">
                                                  <w:marLeft w:val="0"/>
                                                  <w:marRight w:val="0"/>
                                                  <w:marTop w:val="0"/>
                                                  <w:marBottom w:val="0"/>
                                                  <w:divBdr>
                                                    <w:top w:val="none" w:sz="0" w:space="0" w:color="auto"/>
                                                    <w:left w:val="none" w:sz="0" w:space="0" w:color="auto"/>
                                                    <w:bottom w:val="none" w:sz="0" w:space="0" w:color="auto"/>
                                                    <w:right w:val="none" w:sz="0" w:space="0" w:color="auto"/>
                                                  </w:divBdr>
                                                </w:div>
                                                <w:div w:id="11465835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1830821">
                                          <w:marLeft w:val="0"/>
                                          <w:marRight w:val="120"/>
                                          <w:marTop w:val="0"/>
                                          <w:marBottom w:val="0"/>
                                          <w:divBdr>
                                            <w:top w:val="none" w:sz="0" w:space="0" w:color="auto"/>
                                            <w:left w:val="none" w:sz="0" w:space="0" w:color="auto"/>
                                            <w:bottom w:val="none" w:sz="0" w:space="0" w:color="auto"/>
                                            <w:right w:val="none" w:sz="0" w:space="0" w:color="auto"/>
                                          </w:divBdr>
                                          <w:divsChild>
                                            <w:div w:id="434863524">
                                              <w:marLeft w:val="0"/>
                                              <w:marRight w:val="0"/>
                                              <w:marTop w:val="0"/>
                                              <w:marBottom w:val="0"/>
                                              <w:divBdr>
                                                <w:top w:val="none" w:sz="0" w:space="0" w:color="auto"/>
                                                <w:left w:val="none" w:sz="0" w:space="0" w:color="auto"/>
                                                <w:bottom w:val="none" w:sz="0" w:space="0" w:color="auto"/>
                                                <w:right w:val="none" w:sz="0" w:space="0" w:color="auto"/>
                                              </w:divBdr>
                                              <w:divsChild>
                                                <w:div w:id="156532662">
                                                  <w:marLeft w:val="0"/>
                                                  <w:marRight w:val="0"/>
                                                  <w:marTop w:val="0"/>
                                                  <w:marBottom w:val="0"/>
                                                  <w:divBdr>
                                                    <w:top w:val="none" w:sz="0" w:space="0" w:color="auto"/>
                                                    <w:left w:val="none" w:sz="0" w:space="0" w:color="auto"/>
                                                    <w:bottom w:val="none" w:sz="0" w:space="0" w:color="auto"/>
                                                    <w:right w:val="none" w:sz="0" w:space="0" w:color="auto"/>
                                                  </w:divBdr>
                                                  <w:divsChild>
                                                    <w:div w:id="1428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73113">
                                          <w:marLeft w:val="0"/>
                                          <w:marRight w:val="0"/>
                                          <w:marTop w:val="0"/>
                                          <w:marBottom w:val="0"/>
                                          <w:divBdr>
                                            <w:top w:val="none" w:sz="0" w:space="0" w:color="auto"/>
                                            <w:left w:val="none" w:sz="0" w:space="0" w:color="auto"/>
                                            <w:bottom w:val="none" w:sz="0" w:space="0" w:color="auto"/>
                                            <w:right w:val="none" w:sz="0" w:space="0" w:color="auto"/>
                                          </w:divBdr>
                                          <w:divsChild>
                                            <w:div w:id="1063867379">
                                              <w:marLeft w:val="0"/>
                                              <w:marRight w:val="0"/>
                                              <w:marTop w:val="0"/>
                                              <w:marBottom w:val="0"/>
                                              <w:divBdr>
                                                <w:top w:val="none" w:sz="0" w:space="0" w:color="auto"/>
                                                <w:left w:val="none" w:sz="0" w:space="0" w:color="auto"/>
                                                <w:bottom w:val="none" w:sz="0" w:space="0" w:color="auto"/>
                                                <w:right w:val="none" w:sz="0" w:space="0" w:color="auto"/>
                                              </w:divBdr>
                                              <w:divsChild>
                                                <w:div w:id="364596598">
                                                  <w:marLeft w:val="0"/>
                                                  <w:marRight w:val="0"/>
                                                  <w:marTop w:val="0"/>
                                                  <w:marBottom w:val="0"/>
                                                  <w:divBdr>
                                                    <w:top w:val="none" w:sz="0" w:space="0" w:color="auto"/>
                                                    <w:left w:val="none" w:sz="0" w:space="0" w:color="auto"/>
                                                    <w:bottom w:val="none" w:sz="0" w:space="0" w:color="auto"/>
                                                    <w:right w:val="none" w:sz="0" w:space="0" w:color="auto"/>
                                                  </w:divBdr>
                                                  <w:divsChild>
                                                    <w:div w:id="1400904670">
                                                      <w:marLeft w:val="30"/>
                                                      <w:marRight w:val="0"/>
                                                      <w:marTop w:val="0"/>
                                                      <w:marBottom w:val="0"/>
                                                      <w:divBdr>
                                                        <w:top w:val="none" w:sz="0" w:space="0" w:color="auto"/>
                                                        <w:left w:val="none" w:sz="0" w:space="0" w:color="auto"/>
                                                        <w:bottom w:val="none" w:sz="0" w:space="0" w:color="auto"/>
                                                        <w:right w:val="none" w:sz="0" w:space="0" w:color="auto"/>
                                                      </w:divBdr>
                                                      <w:divsChild>
                                                        <w:div w:id="7527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535031">
          <w:marLeft w:val="0"/>
          <w:marRight w:val="0"/>
          <w:marTop w:val="0"/>
          <w:marBottom w:val="0"/>
          <w:divBdr>
            <w:top w:val="none" w:sz="0" w:space="0" w:color="auto"/>
            <w:left w:val="none" w:sz="0" w:space="0" w:color="auto"/>
            <w:bottom w:val="none" w:sz="0" w:space="0" w:color="auto"/>
            <w:right w:val="none" w:sz="0" w:space="0" w:color="auto"/>
          </w:divBdr>
          <w:divsChild>
            <w:div w:id="1272593186">
              <w:marLeft w:val="300"/>
              <w:marRight w:val="300"/>
              <w:marTop w:val="0"/>
              <w:marBottom w:val="0"/>
              <w:divBdr>
                <w:top w:val="none" w:sz="0" w:space="0" w:color="auto"/>
                <w:left w:val="none" w:sz="0" w:space="0" w:color="auto"/>
                <w:bottom w:val="none" w:sz="0" w:space="0" w:color="auto"/>
                <w:right w:val="none" w:sz="0" w:space="0" w:color="auto"/>
              </w:divBdr>
              <w:divsChild>
                <w:div w:id="1568415845">
                  <w:marLeft w:val="0"/>
                  <w:marRight w:val="0"/>
                  <w:marTop w:val="0"/>
                  <w:marBottom w:val="0"/>
                  <w:divBdr>
                    <w:top w:val="none" w:sz="0" w:space="0" w:color="auto"/>
                    <w:left w:val="none" w:sz="0" w:space="0" w:color="auto"/>
                    <w:bottom w:val="none" w:sz="0" w:space="0" w:color="auto"/>
                    <w:right w:val="none" w:sz="0" w:space="0" w:color="auto"/>
                  </w:divBdr>
                  <w:divsChild>
                    <w:div w:id="5616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69b546f-328d-4878-ad47-fa796db0a914">TOKM-636377205-557</_dlc_DocId>
    <_dlc_DocIdUrl xmlns="369b546f-328d-4878-ad47-fa796db0a914">
      <Url>https://teohu.sharepoint.com/companydocs/_layouts/15/DocIdRedir.aspx?ID=TOKM-636377205-557</Url>
      <Description>TOKM-636377205-557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E502241085084C89679445241E99F2" ma:contentTypeVersion="8" ma:contentTypeDescription="Create a new document." ma:contentTypeScope="" ma:versionID="b2e06d1a43b5da3f25ac1123b70c9f36">
  <xsd:schema xmlns:xsd="http://www.w3.org/2001/XMLSchema" xmlns:xs="http://www.w3.org/2001/XMLSchema" xmlns:p="http://schemas.microsoft.com/office/2006/metadata/properties" xmlns:ns2="c55d217a-cff4-4219-bace-84a776c30e37" xmlns:ns3="369b546f-328d-4878-ad47-fa796db0a914" xmlns:ns4="66d313a2-1f6d-487f-b11d-29e3638872e4" targetNamespace="http://schemas.microsoft.com/office/2006/metadata/properties" ma:root="true" ma:fieldsID="d89c347f10aee1e99abcdbf5bfd9e550" ns2:_="" ns3:_="" ns4:_="">
    <xsd:import namespace="c55d217a-cff4-4219-bace-84a776c30e37"/>
    <xsd:import namespace="369b546f-328d-4878-ad47-fa796db0a914"/>
    <xsd:import namespace="66d313a2-1f6d-487f-b11d-29e3638872e4"/>
    <xsd:element name="properties">
      <xsd:complexType>
        <xsd:sequence>
          <xsd:element name="documentManagement">
            <xsd:complexType>
              <xsd:all>
                <xsd:element ref="ns2:SharedWithUsers" minOccurs="0"/>
                <xsd:element ref="ns2:SharedWithDetails" minOccurs="0"/>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d217a-cff4-4219-bace-84a776c30e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b546f-328d-4878-ad47-fa796db0a91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d313a2-1f6d-487f-b11d-29e3638872e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8FE33-F3BB-4C61-9B27-D27133CBD81B}">
  <ds:schemaRefs>
    <ds:schemaRef ds:uri="c55d217a-cff4-4219-bace-84a776c30e37"/>
    <ds:schemaRef ds:uri="http://purl.org/dc/terms/"/>
    <ds:schemaRef ds:uri="http://purl.org/dc/dcmitype/"/>
    <ds:schemaRef ds:uri="http://purl.org/dc/elements/1.1/"/>
    <ds:schemaRef ds:uri="66d313a2-1f6d-487f-b11d-29e3638872e4"/>
    <ds:schemaRef ds:uri="http://schemas.microsoft.com/office/2006/documentManagement/types"/>
    <ds:schemaRef ds:uri="http://schemas.microsoft.com/office/infopath/2007/PartnerControls"/>
    <ds:schemaRef ds:uri="http://schemas.openxmlformats.org/package/2006/metadata/core-properties"/>
    <ds:schemaRef ds:uri="369b546f-328d-4878-ad47-fa796db0a91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BDB9311-B0B1-466D-ADC8-C808AE097D3A}">
  <ds:schemaRefs>
    <ds:schemaRef ds:uri="http://schemas.microsoft.com/sharepoint/events"/>
  </ds:schemaRefs>
</ds:datastoreItem>
</file>

<file path=customXml/itemProps3.xml><?xml version="1.0" encoding="utf-8"?>
<ds:datastoreItem xmlns:ds="http://schemas.openxmlformats.org/officeDocument/2006/customXml" ds:itemID="{A7F1797B-CD4C-4CE4-86D6-C364D966A32B}">
  <ds:schemaRefs>
    <ds:schemaRef ds:uri="http://schemas.microsoft.com/sharepoint/v3/contenttype/forms"/>
  </ds:schemaRefs>
</ds:datastoreItem>
</file>

<file path=customXml/itemProps4.xml><?xml version="1.0" encoding="utf-8"?>
<ds:datastoreItem xmlns:ds="http://schemas.openxmlformats.org/officeDocument/2006/customXml" ds:itemID="{CDA9AE8E-3EE1-42FD-B610-ADF07A7A2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d217a-cff4-4219-bace-84a776c30e37"/>
    <ds:schemaRef ds:uri="369b546f-328d-4878-ad47-fa796db0a914"/>
    <ds:schemaRef ds:uri="66d313a2-1f6d-487f-b11d-29e363887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Wells</dc:creator>
  <cp:keywords/>
  <dc:description/>
  <cp:lastModifiedBy>Bede Dwyer</cp:lastModifiedBy>
  <cp:revision>2</cp:revision>
  <cp:lastPrinted>2019-04-10T22:49:00Z</cp:lastPrinted>
  <dcterms:created xsi:type="dcterms:W3CDTF">2019-06-18T09:03:00Z</dcterms:created>
  <dcterms:modified xsi:type="dcterms:W3CDTF">2019-06-18T09:03:00Z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0x01010025E502241085084C89679445241E99F2</vt:lpwstr>
  </property>
  <property fmtid="{D5CDD505-2E9C-101B-9397-08002B2CF9AE}" pid="3" name="_dlc_DocIdItemGuid">
    <vt:lpwstr>fea7acd8-ebe1-4124-a34c-c240c49e6252</vt:lpwstr>
  </property>
</Properties>
</file>