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311"/>
        <w:tblW w:w="14601" w:type="dxa"/>
        <w:tblLook w:val="04A0" w:firstRow="1" w:lastRow="0" w:firstColumn="1" w:lastColumn="0" w:noHBand="0" w:noVBand="1"/>
      </w:tblPr>
      <w:tblGrid>
        <w:gridCol w:w="1518"/>
        <w:gridCol w:w="2452"/>
        <w:gridCol w:w="6946"/>
        <w:gridCol w:w="3685"/>
      </w:tblGrid>
      <w:tr w:rsidR="00AF68AD" w:rsidRPr="0033256B" w14:paraId="748B5122" w14:textId="77777777" w:rsidTr="0033256B">
        <w:tc>
          <w:tcPr>
            <w:tcW w:w="14601" w:type="dxa"/>
            <w:gridSpan w:val="4"/>
          </w:tcPr>
          <w:p w14:paraId="039E8CC7" w14:textId="77777777" w:rsidR="00AF68AD" w:rsidRPr="0033256B" w:rsidRDefault="00AF68AD" w:rsidP="0033256B">
            <w:pPr>
              <w:jc w:val="center"/>
              <w:rPr>
                <w:rFonts w:cstheme="minorHAnsi"/>
                <w:sz w:val="28"/>
              </w:rPr>
            </w:pPr>
            <w:r w:rsidRPr="0033256B">
              <w:rPr>
                <w:rFonts w:cstheme="minorHAnsi"/>
                <w:sz w:val="28"/>
              </w:rPr>
              <w:t>Review of Sustainability Measures for 1 April 2020</w:t>
            </w:r>
          </w:p>
        </w:tc>
      </w:tr>
      <w:tr w:rsidR="00AF68AD" w:rsidRPr="0033256B" w14:paraId="4E6A1F3A" w14:textId="77777777" w:rsidTr="0033256B">
        <w:tc>
          <w:tcPr>
            <w:tcW w:w="1518" w:type="dxa"/>
          </w:tcPr>
          <w:p w14:paraId="1FB470F3" w14:textId="77777777" w:rsidR="00AF68AD" w:rsidRPr="0033256B" w:rsidRDefault="00AF68AD" w:rsidP="0033256B">
            <w:pPr>
              <w:jc w:val="center"/>
              <w:rPr>
                <w:rFonts w:cstheme="minorHAnsi"/>
                <w:sz w:val="28"/>
              </w:rPr>
            </w:pPr>
            <w:r w:rsidRPr="0033256B">
              <w:rPr>
                <w:rFonts w:cstheme="minorHAnsi"/>
                <w:sz w:val="28"/>
              </w:rPr>
              <w:t>Species</w:t>
            </w:r>
          </w:p>
        </w:tc>
        <w:tc>
          <w:tcPr>
            <w:tcW w:w="2452" w:type="dxa"/>
          </w:tcPr>
          <w:p w14:paraId="685DEDD2" w14:textId="77777777" w:rsidR="00AF68AD" w:rsidRPr="0033256B" w:rsidRDefault="00AF68AD" w:rsidP="0033256B">
            <w:pPr>
              <w:jc w:val="center"/>
              <w:rPr>
                <w:rFonts w:cstheme="minorHAnsi"/>
                <w:sz w:val="28"/>
              </w:rPr>
            </w:pPr>
            <w:r w:rsidRPr="0033256B">
              <w:rPr>
                <w:rFonts w:cstheme="minorHAnsi"/>
                <w:sz w:val="28"/>
              </w:rPr>
              <w:t>Stock</w:t>
            </w:r>
          </w:p>
        </w:tc>
        <w:tc>
          <w:tcPr>
            <w:tcW w:w="6946" w:type="dxa"/>
          </w:tcPr>
          <w:p w14:paraId="76797F6E" w14:textId="77777777" w:rsidR="00AF68AD" w:rsidRPr="0033256B" w:rsidRDefault="00AF68AD" w:rsidP="0033256B">
            <w:pPr>
              <w:jc w:val="center"/>
              <w:rPr>
                <w:rFonts w:cstheme="minorHAnsi"/>
                <w:sz w:val="28"/>
              </w:rPr>
            </w:pPr>
            <w:r w:rsidRPr="0033256B">
              <w:rPr>
                <w:rFonts w:cstheme="minorHAnsi"/>
                <w:sz w:val="28"/>
              </w:rPr>
              <w:t>Commentary</w:t>
            </w:r>
          </w:p>
        </w:tc>
        <w:tc>
          <w:tcPr>
            <w:tcW w:w="3685" w:type="dxa"/>
          </w:tcPr>
          <w:p w14:paraId="2E1A9F9D" w14:textId="77777777" w:rsidR="00AF68AD" w:rsidRPr="0033256B" w:rsidRDefault="00AF68AD" w:rsidP="0033256B">
            <w:pPr>
              <w:jc w:val="center"/>
              <w:rPr>
                <w:rFonts w:cstheme="minorHAnsi"/>
                <w:sz w:val="28"/>
              </w:rPr>
            </w:pPr>
            <w:r w:rsidRPr="0033256B">
              <w:rPr>
                <w:rFonts w:cstheme="minorHAnsi"/>
                <w:sz w:val="28"/>
              </w:rPr>
              <w:t>Position and Comments</w:t>
            </w:r>
          </w:p>
        </w:tc>
      </w:tr>
      <w:tr w:rsidR="00AF68AD" w:rsidRPr="0033256B" w14:paraId="2BEB5D8D" w14:textId="77777777" w:rsidTr="0033256B">
        <w:tc>
          <w:tcPr>
            <w:tcW w:w="1518" w:type="dxa"/>
            <w:vMerge w:val="restart"/>
          </w:tcPr>
          <w:p w14:paraId="583CE210" w14:textId="77777777" w:rsidR="00AF68AD" w:rsidRPr="0033256B" w:rsidRDefault="00AF68AD" w:rsidP="0033256B">
            <w:pPr>
              <w:spacing w:before="91" w:line="189" w:lineRule="exact"/>
              <w:textAlignment w:val="baseline"/>
              <w:rPr>
                <w:rFonts w:eastAsia="Titillium Web" w:cstheme="minorHAnsi"/>
                <w:b/>
                <w:color w:val="000000"/>
                <w:sz w:val="20"/>
                <w:szCs w:val="20"/>
              </w:rPr>
            </w:pPr>
            <w:r w:rsidRPr="0033256B">
              <w:rPr>
                <w:rFonts w:eastAsia="Titillium Web" w:cstheme="minorHAnsi"/>
                <w:b/>
                <w:color w:val="000000"/>
                <w:sz w:val="20"/>
                <w:szCs w:val="20"/>
                <w:lang w:val="en-US"/>
              </w:rPr>
              <w:t xml:space="preserve">Rock Lobster </w:t>
            </w:r>
          </w:p>
        </w:tc>
        <w:tc>
          <w:tcPr>
            <w:tcW w:w="2452" w:type="dxa"/>
            <w:vAlign w:val="center"/>
          </w:tcPr>
          <w:p w14:paraId="32B97287" w14:textId="77777777" w:rsidR="00AF68AD" w:rsidRPr="0033256B" w:rsidRDefault="00AF68AD" w:rsidP="0033256B">
            <w:pPr>
              <w:spacing w:before="96" w:line="186" w:lineRule="exact"/>
              <w:jc w:val="center"/>
              <w:textAlignment w:val="baseline"/>
              <w:rPr>
                <w:rFonts w:eastAsia="Times New Roman" w:cstheme="minorHAnsi"/>
                <w:color w:val="000000"/>
                <w:sz w:val="20"/>
                <w:szCs w:val="20"/>
                <w:lang w:eastAsia="ja-JP"/>
              </w:rPr>
            </w:pPr>
            <w:r w:rsidRPr="0033256B">
              <w:rPr>
                <w:rFonts w:eastAsia="Titillium Web" w:cstheme="minorHAnsi"/>
                <w:color w:val="000000"/>
                <w:sz w:val="20"/>
                <w:szCs w:val="20"/>
              </w:rPr>
              <w:t xml:space="preserve">CRA1- </w:t>
            </w:r>
            <w:r w:rsidRPr="0033256B">
              <w:rPr>
                <w:rFonts w:eastAsia="Titillium Web" w:cstheme="minorHAnsi"/>
                <w:color w:val="000000" w:themeColor="text1"/>
                <w:sz w:val="20"/>
                <w:szCs w:val="20"/>
              </w:rPr>
              <w:t xml:space="preserve">status quo / </w:t>
            </w:r>
            <w:r w:rsidRPr="0033256B">
              <w:rPr>
                <w:rFonts w:eastAsia="Times New Roman" w:cstheme="minorHAnsi"/>
                <w:color w:val="000000"/>
                <w:sz w:val="20"/>
                <w:szCs w:val="20"/>
              </w:rPr>
              <w:t>↓</w:t>
            </w:r>
          </w:p>
          <w:p w14:paraId="0F6B8268" w14:textId="77777777" w:rsidR="00AF68AD" w:rsidRPr="0033256B" w:rsidRDefault="00AF68AD" w:rsidP="0033256B">
            <w:pPr>
              <w:spacing w:before="96" w:line="186" w:lineRule="exact"/>
              <w:jc w:val="center"/>
              <w:textAlignment w:val="baseline"/>
              <w:rPr>
                <w:rFonts w:eastAsia="Titillium Web" w:cstheme="minorHAnsi"/>
                <w:color w:val="000000" w:themeColor="text1"/>
                <w:sz w:val="20"/>
                <w:szCs w:val="20"/>
              </w:rPr>
            </w:pPr>
          </w:p>
        </w:tc>
        <w:tc>
          <w:tcPr>
            <w:tcW w:w="6946" w:type="dxa"/>
          </w:tcPr>
          <w:p w14:paraId="2A768FB2" w14:textId="77777777" w:rsidR="00AF68AD" w:rsidRPr="0033256B" w:rsidRDefault="00AF68AD" w:rsidP="0033256B">
            <w:pPr>
              <w:rPr>
                <w:rFonts w:cstheme="minorHAnsi"/>
                <w:sz w:val="20"/>
              </w:rPr>
            </w:pPr>
            <w:r w:rsidRPr="0033256B">
              <w:rPr>
                <w:rFonts w:cstheme="minorHAnsi"/>
                <w:sz w:val="20"/>
              </w:rPr>
              <w:t>Feedback has promoted the position of supporting a decrease using shelving as the mechanism to lower the TACC by either 16% or 20%.</w:t>
            </w:r>
          </w:p>
          <w:p w14:paraId="2173772F" w14:textId="77777777" w:rsidR="00AF68AD" w:rsidRPr="0033256B" w:rsidRDefault="00AF68AD" w:rsidP="0033256B">
            <w:pPr>
              <w:rPr>
                <w:rFonts w:cstheme="minorHAnsi"/>
                <w:sz w:val="20"/>
              </w:rPr>
            </w:pPr>
            <w:r w:rsidRPr="0033256B">
              <w:rPr>
                <w:rFonts w:cstheme="minorHAnsi"/>
                <w:sz w:val="20"/>
              </w:rPr>
              <w:t xml:space="preserve">Shelving 20% of the TACC offers a more enticing option for the Minister then just shelving the percentage proposed to be cut by the Ministry. </w:t>
            </w:r>
          </w:p>
        </w:tc>
        <w:tc>
          <w:tcPr>
            <w:tcW w:w="3685" w:type="dxa"/>
          </w:tcPr>
          <w:p w14:paraId="65AFFF8B" w14:textId="77777777" w:rsidR="00AF68AD" w:rsidRPr="0033256B" w:rsidRDefault="00AF68AD" w:rsidP="0033256B">
            <w:pPr>
              <w:rPr>
                <w:rFonts w:cstheme="minorHAnsi"/>
                <w:sz w:val="20"/>
                <w:szCs w:val="20"/>
              </w:rPr>
            </w:pPr>
          </w:p>
        </w:tc>
      </w:tr>
      <w:tr w:rsidR="00AF68AD" w:rsidRPr="0033256B" w14:paraId="0D820360" w14:textId="77777777" w:rsidTr="0033256B">
        <w:trPr>
          <w:trHeight w:val="453"/>
        </w:trPr>
        <w:tc>
          <w:tcPr>
            <w:tcW w:w="1518" w:type="dxa"/>
            <w:vMerge/>
          </w:tcPr>
          <w:p w14:paraId="7F70ACD5" w14:textId="77777777" w:rsidR="00AF68AD" w:rsidRPr="0033256B" w:rsidRDefault="00AF68AD" w:rsidP="0033256B">
            <w:pPr>
              <w:spacing w:before="91" w:line="189" w:lineRule="exact"/>
              <w:textAlignment w:val="baseline"/>
              <w:rPr>
                <w:rFonts w:eastAsia="Titillium Web" w:cstheme="minorHAnsi"/>
                <w:b/>
                <w:color w:val="000000"/>
                <w:sz w:val="20"/>
                <w:szCs w:val="20"/>
                <w:lang w:val="en-US"/>
              </w:rPr>
            </w:pPr>
          </w:p>
        </w:tc>
        <w:tc>
          <w:tcPr>
            <w:tcW w:w="2452" w:type="dxa"/>
            <w:vAlign w:val="center"/>
          </w:tcPr>
          <w:p w14:paraId="20A35394" w14:textId="77777777" w:rsidR="00AF68AD" w:rsidRPr="0033256B" w:rsidRDefault="00AF68AD" w:rsidP="0033256B">
            <w:pPr>
              <w:spacing w:before="96" w:line="186" w:lineRule="exact"/>
              <w:jc w:val="center"/>
              <w:textAlignment w:val="baseline"/>
              <w:rPr>
                <w:rFonts w:eastAsia="Titillium Web" w:cstheme="minorHAnsi"/>
                <w:color w:val="000000"/>
                <w:sz w:val="20"/>
                <w:szCs w:val="20"/>
              </w:rPr>
            </w:pPr>
            <w:r w:rsidRPr="0033256B">
              <w:rPr>
                <w:rFonts w:eastAsia="Titillium Web" w:cstheme="minorHAnsi"/>
                <w:color w:val="000000"/>
                <w:sz w:val="20"/>
                <w:szCs w:val="20"/>
              </w:rPr>
              <w:t xml:space="preserve">CRA3- </w:t>
            </w:r>
            <w:r w:rsidRPr="0033256B">
              <w:rPr>
                <w:rFonts w:eastAsia="Titillium Web" w:cstheme="minorHAnsi"/>
                <w:color w:val="000000" w:themeColor="text1"/>
                <w:sz w:val="20"/>
                <w:szCs w:val="20"/>
              </w:rPr>
              <w:t xml:space="preserve">status quo / </w:t>
            </w:r>
            <w:r w:rsidRPr="0033256B">
              <w:rPr>
                <w:rFonts w:eastAsia="Times New Roman" w:cstheme="minorHAnsi"/>
                <w:color w:val="000000"/>
                <w:sz w:val="20"/>
                <w:szCs w:val="20"/>
              </w:rPr>
              <w:t>↓</w:t>
            </w:r>
          </w:p>
        </w:tc>
        <w:tc>
          <w:tcPr>
            <w:tcW w:w="6946" w:type="dxa"/>
          </w:tcPr>
          <w:p w14:paraId="34CA1355" w14:textId="77777777" w:rsidR="00AF68AD" w:rsidRPr="0033256B" w:rsidRDefault="00AF68AD" w:rsidP="0033256B">
            <w:pPr>
              <w:rPr>
                <w:rFonts w:cstheme="minorHAnsi"/>
                <w:sz w:val="20"/>
                <w:szCs w:val="20"/>
              </w:rPr>
            </w:pPr>
            <w:r w:rsidRPr="0033256B">
              <w:rPr>
                <w:rFonts w:cstheme="minorHAnsi"/>
                <w:sz w:val="20"/>
                <w:szCs w:val="20"/>
              </w:rPr>
              <w:t xml:space="preserve">CRA3 is projected to decrease across all stat areas. </w:t>
            </w:r>
          </w:p>
        </w:tc>
        <w:tc>
          <w:tcPr>
            <w:tcW w:w="3685" w:type="dxa"/>
          </w:tcPr>
          <w:p w14:paraId="4754710E" w14:textId="77777777" w:rsidR="00AF68AD" w:rsidRPr="0033256B" w:rsidRDefault="00AF68AD" w:rsidP="0033256B">
            <w:pPr>
              <w:rPr>
                <w:rFonts w:cstheme="minorHAnsi"/>
                <w:sz w:val="20"/>
                <w:szCs w:val="20"/>
              </w:rPr>
            </w:pPr>
          </w:p>
        </w:tc>
      </w:tr>
      <w:tr w:rsidR="00AF68AD" w:rsidRPr="0033256B" w14:paraId="0D511D80" w14:textId="77777777" w:rsidTr="0033256B">
        <w:tc>
          <w:tcPr>
            <w:tcW w:w="1518" w:type="dxa"/>
            <w:vMerge/>
          </w:tcPr>
          <w:p w14:paraId="4FC832D2" w14:textId="77777777" w:rsidR="00AF68AD" w:rsidRPr="0033256B" w:rsidRDefault="00AF68AD" w:rsidP="0033256B">
            <w:pPr>
              <w:spacing w:before="91" w:line="189" w:lineRule="exact"/>
              <w:textAlignment w:val="baseline"/>
              <w:rPr>
                <w:rFonts w:eastAsia="Titillium Web" w:cstheme="minorHAnsi"/>
                <w:b/>
                <w:color w:val="000000"/>
                <w:sz w:val="20"/>
                <w:szCs w:val="20"/>
                <w:lang w:val="en-US"/>
              </w:rPr>
            </w:pPr>
          </w:p>
        </w:tc>
        <w:tc>
          <w:tcPr>
            <w:tcW w:w="2452" w:type="dxa"/>
            <w:vAlign w:val="center"/>
          </w:tcPr>
          <w:p w14:paraId="4E527DED" w14:textId="77777777" w:rsidR="00AF68AD" w:rsidRPr="0033256B" w:rsidRDefault="00AF68AD" w:rsidP="0033256B">
            <w:pPr>
              <w:spacing w:before="96" w:line="186" w:lineRule="exact"/>
              <w:jc w:val="center"/>
              <w:rPr>
                <w:rFonts w:eastAsia="Titillium Web" w:cstheme="minorHAnsi"/>
                <w:color w:val="000000" w:themeColor="text1"/>
                <w:sz w:val="20"/>
                <w:szCs w:val="20"/>
              </w:rPr>
            </w:pPr>
            <w:r w:rsidRPr="0033256B">
              <w:rPr>
                <w:rFonts w:eastAsia="Titillium Web" w:cstheme="minorHAnsi"/>
                <w:color w:val="000000" w:themeColor="text1"/>
                <w:sz w:val="20"/>
                <w:szCs w:val="20"/>
              </w:rPr>
              <w:t xml:space="preserve">CRA4- status quo / </w:t>
            </w:r>
            <w:r w:rsidRPr="0033256B">
              <w:rPr>
                <w:rFonts w:eastAsia="Arial" w:cstheme="minorHAnsi"/>
                <w:color w:val="545454"/>
                <w:sz w:val="21"/>
                <w:szCs w:val="21"/>
              </w:rPr>
              <w:t>↑</w:t>
            </w:r>
          </w:p>
        </w:tc>
        <w:tc>
          <w:tcPr>
            <w:tcW w:w="6946" w:type="dxa"/>
          </w:tcPr>
          <w:p w14:paraId="4DB5CC8E" w14:textId="77777777" w:rsidR="00AF68AD" w:rsidRPr="0033256B" w:rsidRDefault="00AF68AD" w:rsidP="0033256B">
            <w:pPr>
              <w:rPr>
                <w:rFonts w:cstheme="minorHAnsi"/>
                <w:sz w:val="20"/>
                <w:szCs w:val="20"/>
              </w:rPr>
            </w:pPr>
            <w:r w:rsidRPr="0033256B">
              <w:rPr>
                <w:rFonts w:cstheme="minorHAnsi"/>
                <w:sz w:val="20"/>
                <w:szCs w:val="20"/>
              </w:rPr>
              <w:t>Management procedure has indicated a</w:t>
            </w:r>
            <w:r w:rsidR="00B50117" w:rsidRPr="0033256B">
              <w:rPr>
                <w:rFonts w:cstheme="minorHAnsi"/>
                <w:sz w:val="20"/>
                <w:szCs w:val="20"/>
              </w:rPr>
              <w:t>n</w:t>
            </w:r>
            <w:r w:rsidRPr="0033256B">
              <w:rPr>
                <w:rFonts w:cstheme="minorHAnsi"/>
                <w:sz w:val="20"/>
                <w:szCs w:val="20"/>
              </w:rPr>
              <w:t xml:space="preserve"> increase for this stock. </w:t>
            </w:r>
          </w:p>
          <w:p w14:paraId="52754D29" w14:textId="77777777" w:rsidR="00AF68AD" w:rsidRPr="0033256B" w:rsidRDefault="00AF68AD" w:rsidP="0033256B">
            <w:pPr>
              <w:rPr>
                <w:rFonts w:cstheme="minorHAnsi"/>
                <w:sz w:val="20"/>
                <w:szCs w:val="20"/>
              </w:rPr>
            </w:pPr>
            <w:r w:rsidRPr="0033256B">
              <w:rPr>
                <w:rFonts w:cstheme="minorHAnsi"/>
                <w:sz w:val="20"/>
                <w:szCs w:val="20"/>
              </w:rPr>
              <w:t xml:space="preserve">Supporting the status quo advocates for a conservative approach to management for CRA4.  </w:t>
            </w:r>
          </w:p>
        </w:tc>
        <w:tc>
          <w:tcPr>
            <w:tcW w:w="3685" w:type="dxa"/>
          </w:tcPr>
          <w:p w14:paraId="791DF51C" w14:textId="77777777" w:rsidR="00AF68AD" w:rsidRPr="0033256B" w:rsidRDefault="00AF68AD" w:rsidP="0033256B">
            <w:pPr>
              <w:rPr>
                <w:rFonts w:cstheme="minorHAnsi"/>
                <w:sz w:val="20"/>
                <w:szCs w:val="20"/>
              </w:rPr>
            </w:pPr>
          </w:p>
        </w:tc>
      </w:tr>
      <w:tr w:rsidR="00AF68AD" w:rsidRPr="0033256B" w14:paraId="6D0C5F59" w14:textId="77777777" w:rsidTr="0033256B">
        <w:trPr>
          <w:trHeight w:val="486"/>
        </w:trPr>
        <w:tc>
          <w:tcPr>
            <w:tcW w:w="1518" w:type="dxa"/>
            <w:vMerge/>
          </w:tcPr>
          <w:p w14:paraId="7BE56162" w14:textId="77777777" w:rsidR="00AF68AD" w:rsidRPr="0033256B" w:rsidRDefault="00AF68AD" w:rsidP="0033256B">
            <w:pPr>
              <w:spacing w:before="91" w:line="189" w:lineRule="exact"/>
              <w:textAlignment w:val="baseline"/>
              <w:rPr>
                <w:rFonts w:eastAsia="Titillium Web" w:cstheme="minorHAnsi"/>
                <w:b/>
                <w:color w:val="000000"/>
                <w:sz w:val="20"/>
                <w:szCs w:val="20"/>
                <w:lang w:val="en-US"/>
              </w:rPr>
            </w:pPr>
          </w:p>
        </w:tc>
        <w:tc>
          <w:tcPr>
            <w:tcW w:w="2452" w:type="dxa"/>
            <w:vAlign w:val="center"/>
          </w:tcPr>
          <w:p w14:paraId="29D5DB0C" w14:textId="77777777" w:rsidR="00AF68AD" w:rsidRPr="0033256B" w:rsidRDefault="00AF68AD" w:rsidP="0033256B">
            <w:pPr>
              <w:spacing w:before="96" w:line="186" w:lineRule="exact"/>
              <w:jc w:val="center"/>
              <w:rPr>
                <w:rFonts w:eastAsia="Titillium Web" w:cstheme="minorHAnsi"/>
                <w:color w:val="000000" w:themeColor="text1"/>
                <w:sz w:val="20"/>
                <w:szCs w:val="20"/>
              </w:rPr>
            </w:pPr>
            <w:r w:rsidRPr="0033256B">
              <w:rPr>
                <w:rFonts w:eastAsia="Titillium Web" w:cstheme="minorHAnsi"/>
                <w:color w:val="000000" w:themeColor="text1"/>
                <w:sz w:val="20"/>
                <w:szCs w:val="20"/>
              </w:rPr>
              <w:t xml:space="preserve">CRA7 - status quo / </w:t>
            </w:r>
            <w:r w:rsidRPr="0033256B">
              <w:rPr>
                <w:rFonts w:eastAsia="Arial" w:cstheme="minorHAnsi"/>
                <w:color w:val="545454"/>
                <w:sz w:val="21"/>
                <w:szCs w:val="21"/>
              </w:rPr>
              <w:t>↑</w:t>
            </w:r>
          </w:p>
        </w:tc>
        <w:tc>
          <w:tcPr>
            <w:tcW w:w="6946" w:type="dxa"/>
          </w:tcPr>
          <w:p w14:paraId="0C412B50" w14:textId="77777777" w:rsidR="00AF68AD" w:rsidRPr="0033256B" w:rsidRDefault="00AF68AD" w:rsidP="0033256B">
            <w:pPr>
              <w:rPr>
                <w:rFonts w:cstheme="minorHAnsi"/>
                <w:sz w:val="20"/>
                <w:szCs w:val="20"/>
              </w:rPr>
            </w:pPr>
            <w:r w:rsidRPr="0033256B">
              <w:rPr>
                <w:rFonts w:cstheme="minorHAnsi"/>
                <w:sz w:val="20"/>
                <w:szCs w:val="20"/>
              </w:rPr>
              <w:t xml:space="preserve">Management procedure has indicated an increase for this stock. </w:t>
            </w:r>
          </w:p>
        </w:tc>
        <w:tc>
          <w:tcPr>
            <w:tcW w:w="3685" w:type="dxa"/>
          </w:tcPr>
          <w:p w14:paraId="3B274845" w14:textId="77777777" w:rsidR="00AF68AD" w:rsidRPr="0033256B" w:rsidRDefault="00AF68AD" w:rsidP="0033256B">
            <w:pPr>
              <w:rPr>
                <w:rFonts w:cstheme="minorHAnsi"/>
                <w:sz w:val="20"/>
                <w:szCs w:val="20"/>
              </w:rPr>
            </w:pPr>
          </w:p>
        </w:tc>
      </w:tr>
      <w:tr w:rsidR="00AF68AD" w:rsidRPr="0033256B" w14:paraId="0B24DD7C" w14:textId="77777777" w:rsidTr="0033256B">
        <w:trPr>
          <w:trHeight w:val="463"/>
        </w:trPr>
        <w:tc>
          <w:tcPr>
            <w:tcW w:w="1518" w:type="dxa"/>
            <w:vMerge/>
          </w:tcPr>
          <w:p w14:paraId="0EB2C2D6" w14:textId="77777777" w:rsidR="00AF68AD" w:rsidRPr="0033256B" w:rsidRDefault="00AF68AD" w:rsidP="0033256B">
            <w:pPr>
              <w:spacing w:before="91" w:line="189" w:lineRule="exact"/>
              <w:textAlignment w:val="baseline"/>
              <w:rPr>
                <w:rFonts w:eastAsia="Titillium Web" w:cstheme="minorHAnsi"/>
                <w:b/>
                <w:color w:val="000000"/>
                <w:sz w:val="20"/>
                <w:szCs w:val="20"/>
                <w:lang w:val="en-US"/>
              </w:rPr>
            </w:pPr>
          </w:p>
        </w:tc>
        <w:tc>
          <w:tcPr>
            <w:tcW w:w="2452" w:type="dxa"/>
            <w:vAlign w:val="center"/>
          </w:tcPr>
          <w:p w14:paraId="7AE935A0" w14:textId="77777777" w:rsidR="00AF68AD" w:rsidRPr="0033256B" w:rsidRDefault="00AF68AD" w:rsidP="0033256B">
            <w:pPr>
              <w:spacing w:before="96" w:line="186" w:lineRule="exact"/>
              <w:jc w:val="center"/>
              <w:textAlignment w:val="baseline"/>
              <w:rPr>
                <w:rFonts w:eastAsia="Titillium Web" w:cstheme="minorHAnsi"/>
                <w:color w:val="000000"/>
                <w:sz w:val="20"/>
                <w:szCs w:val="20"/>
              </w:rPr>
            </w:pPr>
            <w:r w:rsidRPr="0033256B">
              <w:rPr>
                <w:rFonts w:eastAsia="Titillium Web" w:cstheme="minorHAnsi"/>
                <w:color w:val="000000" w:themeColor="text1"/>
                <w:sz w:val="20"/>
                <w:szCs w:val="20"/>
              </w:rPr>
              <w:t xml:space="preserve">CRA8 - status quo / </w:t>
            </w:r>
            <w:r w:rsidRPr="0033256B">
              <w:rPr>
                <w:rFonts w:eastAsia="Arial" w:cstheme="minorHAnsi"/>
                <w:color w:val="545454"/>
                <w:sz w:val="21"/>
                <w:szCs w:val="21"/>
              </w:rPr>
              <w:t>↑</w:t>
            </w:r>
          </w:p>
        </w:tc>
        <w:tc>
          <w:tcPr>
            <w:tcW w:w="6946" w:type="dxa"/>
          </w:tcPr>
          <w:p w14:paraId="5FBB2991" w14:textId="77777777" w:rsidR="00AF68AD" w:rsidRPr="0033256B" w:rsidRDefault="00AF68AD" w:rsidP="0033256B">
            <w:pPr>
              <w:rPr>
                <w:rFonts w:cstheme="minorHAnsi"/>
                <w:sz w:val="20"/>
                <w:szCs w:val="20"/>
              </w:rPr>
            </w:pPr>
            <w:r w:rsidRPr="0033256B">
              <w:rPr>
                <w:rFonts w:cstheme="minorHAnsi"/>
                <w:sz w:val="20"/>
                <w:szCs w:val="20"/>
              </w:rPr>
              <w:t xml:space="preserve">Management procedure has indicated an increase for this stock. </w:t>
            </w:r>
          </w:p>
        </w:tc>
        <w:tc>
          <w:tcPr>
            <w:tcW w:w="3685" w:type="dxa"/>
          </w:tcPr>
          <w:p w14:paraId="2A3695FD" w14:textId="77777777" w:rsidR="00AF68AD" w:rsidRPr="0033256B" w:rsidRDefault="00AF68AD" w:rsidP="0033256B">
            <w:pPr>
              <w:rPr>
                <w:rFonts w:cstheme="minorHAnsi"/>
                <w:sz w:val="20"/>
                <w:szCs w:val="20"/>
              </w:rPr>
            </w:pPr>
          </w:p>
        </w:tc>
      </w:tr>
      <w:tr w:rsidR="00AF68AD" w:rsidRPr="0033256B" w14:paraId="124440B4" w14:textId="77777777" w:rsidTr="0033256B">
        <w:trPr>
          <w:trHeight w:val="483"/>
        </w:trPr>
        <w:tc>
          <w:tcPr>
            <w:tcW w:w="1518" w:type="dxa"/>
          </w:tcPr>
          <w:p w14:paraId="205197F8" w14:textId="77777777" w:rsidR="00AF68AD" w:rsidRPr="0033256B" w:rsidRDefault="00AF68AD" w:rsidP="0033256B">
            <w:pPr>
              <w:spacing w:before="91" w:line="189" w:lineRule="exact"/>
              <w:textAlignment w:val="baseline"/>
              <w:rPr>
                <w:rFonts w:eastAsia="Titillium Web" w:cstheme="minorHAnsi"/>
                <w:b/>
                <w:color w:val="000000"/>
                <w:sz w:val="20"/>
                <w:szCs w:val="20"/>
              </w:rPr>
            </w:pPr>
            <w:r w:rsidRPr="0033256B">
              <w:rPr>
                <w:rFonts w:eastAsia="Titillium Web" w:cstheme="minorHAnsi"/>
                <w:b/>
                <w:color w:val="000000"/>
                <w:sz w:val="20"/>
                <w:szCs w:val="20"/>
              </w:rPr>
              <w:t>Scallop</w:t>
            </w:r>
          </w:p>
        </w:tc>
        <w:tc>
          <w:tcPr>
            <w:tcW w:w="2452" w:type="dxa"/>
            <w:vAlign w:val="center"/>
          </w:tcPr>
          <w:p w14:paraId="753FC83A" w14:textId="77777777" w:rsidR="00AF68AD" w:rsidRPr="0033256B" w:rsidRDefault="00AF68AD" w:rsidP="0033256B">
            <w:pPr>
              <w:spacing w:before="91" w:line="191" w:lineRule="exact"/>
              <w:jc w:val="center"/>
              <w:textAlignment w:val="baseline"/>
              <w:rPr>
                <w:rFonts w:eastAsia="Times New Roman" w:cstheme="minorHAnsi"/>
                <w:color w:val="000000"/>
                <w:sz w:val="20"/>
                <w:szCs w:val="20"/>
              </w:rPr>
            </w:pPr>
            <w:r w:rsidRPr="0033256B">
              <w:rPr>
                <w:rFonts w:eastAsia="Titillium Web" w:cstheme="minorHAnsi"/>
                <w:color w:val="000000"/>
                <w:sz w:val="20"/>
                <w:szCs w:val="20"/>
                <w:lang w:val="en-US"/>
              </w:rPr>
              <w:t xml:space="preserve">SCA1 - </w:t>
            </w:r>
            <w:r w:rsidRPr="0033256B">
              <w:rPr>
                <w:rFonts w:eastAsia="Times New Roman" w:cstheme="minorHAnsi"/>
                <w:color w:val="000000"/>
                <w:sz w:val="20"/>
                <w:szCs w:val="20"/>
              </w:rPr>
              <w:t>↓</w:t>
            </w:r>
          </w:p>
        </w:tc>
        <w:tc>
          <w:tcPr>
            <w:tcW w:w="6946" w:type="dxa"/>
          </w:tcPr>
          <w:p w14:paraId="2AF14FAF" w14:textId="77777777" w:rsidR="00AF68AD" w:rsidRPr="0033256B" w:rsidRDefault="00AF68AD" w:rsidP="0033256B">
            <w:pPr>
              <w:rPr>
                <w:rFonts w:cstheme="minorHAnsi"/>
                <w:sz w:val="20"/>
              </w:rPr>
            </w:pPr>
            <w:r w:rsidRPr="0033256B">
              <w:rPr>
                <w:rFonts w:cstheme="minorHAnsi"/>
                <w:sz w:val="20"/>
              </w:rPr>
              <w:t>FNZ has indicated there is a sustainability concern for this stock.</w:t>
            </w:r>
          </w:p>
        </w:tc>
        <w:tc>
          <w:tcPr>
            <w:tcW w:w="3685" w:type="dxa"/>
          </w:tcPr>
          <w:p w14:paraId="068AB4BC" w14:textId="77777777" w:rsidR="00AF68AD" w:rsidRPr="0033256B" w:rsidRDefault="00AF68AD" w:rsidP="0033256B">
            <w:pPr>
              <w:rPr>
                <w:rFonts w:cstheme="minorHAnsi"/>
                <w:sz w:val="20"/>
              </w:rPr>
            </w:pPr>
          </w:p>
        </w:tc>
      </w:tr>
      <w:tr w:rsidR="00AF68AD" w:rsidRPr="0033256B" w14:paraId="7DF124CC" w14:textId="77777777" w:rsidTr="0033256B">
        <w:tc>
          <w:tcPr>
            <w:tcW w:w="1518" w:type="dxa"/>
          </w:tcPr>
          <w:p w14:paraId="5F72F9E7" w14:textId="77777777" w:rsidR="00AF68AD" w:rsidRPr="0033256B" w:rsidRDefault="00AF68AD" w:rsidP="0033256B">
            <w:pPr>
              <w:spacing w:before="91" w:line="192" w:lineRule="exact"/>
              <w:textAlignment w:val="baseline"/>
              <w:rPr>
                <w:rFonts w:eastAsia="Titillium Web" w:cstheme="minorHAnsi"/>
                <w:b/>
                <w:color w:val="000000"/>
                <w:sz w:val="20"/>
                <w:szCs w:val="20"/>
              </w:rPr>
            </w:pPr>
            <w:r w:rsidRPr="0033256B">
              <w:rPr>
                <w:rFonts w:eastAsia="Titillium Web" w:cstheme="minorHAnsi"/>
                <w:b/>
                <w:color w:val="000000"/>
                <w:sz w:val="20"/>
                <w:szCs w:val="20"/>
                <w:lang w:val="en-US"/>
              </w:rPr>
              <w:t xml:space="preserve">Deemed values </w:t>
            </w:r>
          </w:p>
        </w:tc>
        <w:tc>
          <w:tcPr>
            <w:tcW w:w="2452" w:type="dxa"/>
            <w:vAlign w:val="center"/>
          </w:tcPr>
          <w:p w14:paraId="58E9FBD1" w14:textId="77777777" w:rsidR="0070280B" w:rsidRPr="0033256B" w:rsidRDefault="00B50117" w:rsidP="0033256B">
            <w:pPr>
              <w:spacing w:line="292" w:lineRule="exact"/>
              <w:jc w:val="center"/>
              <w:textAlignment w:val="baseline"/>
              <w:rPr>
                <w:rFonts w:eastAsia="Titillium Web" w:cstheme="minorHAnsi"/>
                <w:color w:val="000000"/>
                <w:sz w:val="20"/>
                <w:szCs w:val="20"/>
              </w:rPr>
            </w:pPr>
            <w:r w:rsidRPr="0033256B">
              <w:rPr>
                <w:rFonts w:eastAsia="Titillium Web" w:cstheme="minorHAnsi"/>
                <w:color w:val="000000"/>
                <w:sz w:val="20"/>
                <w:szCs w:val="20"/>
              </w:rPr>
              <w:t>Large n</w:t>
            </w:r>
            <w:r w:rsidR="00AF68AD" w:rsidRPr="0033256B">
              <w:rPr>
                <w:rFonts w:eastAsia="Titillium Web" w:cstheme="minorHAnsi"/>
                <w:color w:val="000000"/>
                <w:sz w:val="20"/>
                <w:szCs w:val="20"/>
              </w:rPr>
              <w:t>umber of stocks</w:t>
            </w:r>
          </w:p>
          <w:p w14:paraId="236E6628" w14:textId="77777777" w:rsidR="00AF68AD" w:rsidRPr="0033256B" w:rsidRDefault="00AF68AD" w:rsidP="0033256B">
            <w:pPr>
              <w:spacing w:line="292" w:lineRule="exact"/>
              <w:jc w:val="center"/>
              <w:textAlignment w:val="baseline"/>
              <w:rPr>
                <w:rFonts w:eastAsia="Titillium Web" w:cstheme="minorHAnsi"/>
                <w:color w:val="000000"/>
                <w:sz w:val="20"/>
                <w:szCs w:val="20"/>
              </w:rPr>
            </w:pPr>
            <w:r w:rsidRPr="0033256B">
              <w:rPr>
                <w:rFonts w:eastAsia="Titillium Web" w:cstheme="minorHAnsi"/>
                <w:color w:val="000000"/>
                <w:sz w:val="20"/>
                <w:szCs w:val="20"/>
              </w:rPr>
              <w:t xml:space="preserve"> (</w:t>
            </w:r>
            <w:r w:rsidR="0070280B" w:rsidRPr="0033256B">
              <w:rPr>
                <w:rFonts w:eastAsia="Titillium Web" w:cstheme="minorHAnsi"/>
                <w:color w:val="000000"/>
                <w:sz w:val="20"/>
                <w:szCs w:val="20"/>
              </w:rPr>
              <w:t>75 species)</w:t>
            </w:r>
          </w:p>
          <w:p w14:paraId="5D51CF37" w14:textId="77777777" w:rsidR="00AF68AD" w:rsidRPr="0033256B" w:rsidRDefault="00AF68AD" w:rsidP="0033256B">
            <w:pPr>
              <w:spacing w:line="292" w:lineRule="exact"/>
              <w:textAlignment w:val="baseline"/>
              <w:rPr>
                <w:rFonts w:eastAsia="Titillium Web" w:cstheme="minorHAnsi"/>
                <w:color w:val="000000"/>
                <w:sz w:val="20"/>
                <w:szCs w:val="20"/>
              </w:rPr>
            </w:pPr>
          </w:p>
        </w:tc>
        <w:tc>
          <w:tcPr>
            <w:tcW w:w="6946" w:type="dxa"/>
          </w:tcPr>
          <w:p w14:paraId="26876426" w14:textId="77777777" w:rsidR="00AF68AD" w:rsidRPr="0033256B" w:rsidRDefault="00AF68AD" w:rsidP="0033256B">
            <w:pPr>
              <w:rPr>
                <w:rFonts w:cstheme="minorHAnsi"/>
                <w:sz w:val="20"/>
                <w:szCs w:val="20"/>
              </w:rPr>
            </w:pPr>
            <w:r w:rsidRPr="0033256B">
              <w:rPr>
                <w:rFonts w:cstheme="minorHAnsi"/>
                <w:sz w:val="20"/>
                <w:szCs w:val="20"/>
              </w:rPr>
              <w:t>The Deemed Values Working Group recommended that all interim deemed value rates of all stocks be set at 90% of the annual rate. This recommendation is supported as it is consistent with current operational policy regarding deemed value rates.</w:t>
            </w:r>
          </w:p>
        </w:tc>
        <w:tc>
          <w:tcPr>
            <w:tcW w:w="3685" w:type="dxa"/>
          </w:tcPr>
          <w:p w14:paraId="3319C040" w14:textId="77777777" w:rsidR="00AF68AD" w:rsidRPr="0033256B" w:rsidRDefault="00AF68AD" w:rsidP="0033256B">
            <w:pPr>
              <w:rPr>
                <w:rFonts w:cstheme="minorHAnsi"/>
                <w:sz w:val="20"/>
                <w:szCs w:val="20"/>
              </w:rPr>
            </w:pPr>
          </w:p>
        </w:tc>
      </w:tr>
      <w:tr w:rsidR="00AF68AD" w:rsidRPr="0033256B" w14:paraId="3671A33D" w14:textId="77777777" w:rsidTr="0033256B">
        <w:trPr>
          <w:trHeight w:val="1975"/>
        </w:trPr>
        <w:tc>
          <w:tcPr>
            <w:tcW w:w="1518" w:type="dxa"/>
          </w:tcPr>
          <w:p w14:paraId="271DA63D" w14:textId="77777777" w:rsidR="00AF68AD" w:rsidRPr="0033256B" w:rsidRDefault="00AF68AD" w:rsidP="0033256B">
            <w:pPr>
              <w:spacing w:before="91" w:line="192" w:lineRule="exact"/>
              <w:textAlignment w:val="baseline"/>
              <w:rPr>
                <w:rFonts w:eastAsia="Titillium Web" w:cstheme="minorHAnsi"/>
                <w:b/>
                <w:color w:val="000000"/>
                <w:sz w:val="20"/>
                <w:szCs w:val="20"/>
                <w:lang w:val="en-US"/>
              </w:rPr>
            </w:pPr>
            <w:r w:rsidRPr="0033256B">
              <w:rPr>
                <w:rFonts w:eastAsia="Titillium Web" w:cstheme="minorHAnsi"/>
                <w:b/>
                <w:color w:val="000000"/>
                <w:sz w:val="20"/>
                <w:szCs w:val="20"/>
                <w:lang w:val="en-US"/>
              </w:rPr>
              <w:t xml:space="preserve">Zero </w:t>
            </w:r>
            <w:proofErr w:type="spellStart"/>
            <w:r w:rsidRPr="0033256B">
              <w:rPr>
                <w:rFonts w:eastAsia="Titillium Web" w:cstheme="minorHAnsi"/>
                <w:b/>
                <w:color w:val="000000"/>
                <w:sz w:val="20"/>
                <w:szCs w:val="20"/>
                <w:lang w:val="en-US"/>
              </w:rPr>
              <w:t>Tonne</w:t>
            </w:r>
            <w:proofErr w:type="spellEnd"/>
            <w:r w:rsidRPr="0033256B">
              <w:rPr>
                <w:rFonts w:eastAsia="Titillium Web" w:cstheme="minorHAnsi"/>
                <w:b/>
                <w:color w:val="000000"/>
                <w:sz w:val="20"/>
                <w:szCs w:val="20"/>
                <w:lang w:val="en-US"/>
              </w:rPr>
              <w:t xml:space="preserve"> TACC Stocks</w:t>
            </w:r>
          </w:p>
          <w:p w14:paraId="377F3D04" w14:textId="77777777" w:rsidR="00AF68AD" w:rsidRPr="0033256B" w:rsidRDefault="00AF68AD" w:rsidP="0033256B">
            <w:pPr>
              <w:spacing w:before="91" w:line="192" w:lineRule="exact"/>
              <w:textAlignment w:val="baseline"/>
              <w:rPr>
                <w:rFonts w:eastAsia="Titillium Web" w:cstheme="minorHAnsi"/>
                <w:b/>
                <w:color w:val="000000"/>
                <w:sz w:val="20"/>
                <w:szCs w:val="20"/>
                <w:lang w:val="en-US"/>
              </w:rPr>
            </w:pPr>
          </w:p>
          <w:p w14:paraId="2754878A" w14:textId="77777777" w:rsidR="00AF68AD" w:rsidRPr="0033256B" w:rsidRDefault="00AF68AD" w:rsidP="0033256B">
            <w:pPr>
              <w:pStyle w:val="ListParagraph"/>
              <w:numPr>
                <w:ilvl w:val="0"/>
                <w:numId w:val="1"/>
              </w:numPr>
              <w:spacing w:before="91" w:line="192" w:lineRule="exact"/>
              <w:textAlignment w:val="baseline"/>
              <w:rPr>
                <w:rFonts w:eastAsia="Titillium Web" w:cstheme="minorHAnsi"/>
                <w:bCs/>
                <w:color w:val="000000"/>
                <w:sz w:val="20"/>
                <w:szCs w:val="20"/>
                <w:lang w:val="en-US"/>
              </w:rPr>
            </w:pPr>
            <w:proofErr w:type="spellStart"/>
            <w:r w:rsidRPr="0033256B">
              <w:rPr>
                <w:rFonts w:eastAsia="Titillium Web" w:cstheme="minorHAnsi"/>
                <w:bCs/>
                <w:color w:val="000000"/>
                <w:sz w:val="20"/>
                <w:szCs w:val="20"/>
                <w:lang w:val="en-US"/>
              </w:rPr>
              <w:t>Rubyfish</w:t>
            </w:r>
            <w:proofErr w:type="spellEnd"/>
            <w:r w:rsidRPr="0033256B">
              <w:rPr>
                <w:rFonts w:eastAsia="Titillium Web" w:cstheme="minorHAnsi"/>
                <w:bCs/>
                <w:color w:val="000000"/>
                <w:sz w:val="20"/>
                <w:szCs w:val="20"/>
                <w:lang w:val="en-US"/>
              </w:rPr>
              <w:t xml:space="preserve"> </w:t>
            </w:r>
          </w:p>
          <w:p w14:paraId="70E07EBD" w14:textId="77777777" w:rsidR="00AF68AD" w:rsidRPr="0033256B" w:rsidRDefault="00AF68AD" w:rsidP="0033256B">
            <w:pPr>
              <w:pStyle w:val="ListParagraph"/>
              <w:numPr>
                <w:ilvl w:val="0"/>
                <w:numId w:val="1"/>
              </w:numPr>
              <w:spacing w:before="91" w:line="192" w:lineRule="exact"/>
              <w:textAlignment w:val="baseline"/>
              <w:rPr>
                <w:rFonts w:eastAsia="Titillium Web" w:cstheme="minorHAnsi"/>
                <w:bCs/>
                <w:color w:val="000000"/>
                <w:sz w:val="20"/>
                <w:szCs w:val="20"/>
                <w:lang w:val="en-US"/>
              </w:rPr>
            </w:pPr>
            <w:r w:rsidRPr="0033256B">
              <w:rPr>
                <w:rFonts w:eastAsia="Titillium Web" w:cstheme="minorHAnsi"/>
                <w:bCs/>
                <w:color w:val="000000"/>
                <w:sz w:val="20"/>
                <w:szCs w:val="20"/>
                <w:lang w:val="en-US"/>
              </w:rPr>
              <w:t xml:space="preserve">Trumpeter </w:t>
            </w:r>
          </w:p>
          <w:p w14:paraId="6F6B0F0B" w14:textId="77777777" w:rsidR="00AF68AD" w:rsidRPr="0033256B" w:rsidRDefault="00AF68AD" w:rsidP="0033256B">
            <w:pPr>
              <w:pStyle w:val="ListParagraph"/>
              <w:numPr>
                <w:ilvl w:val="0"/>
                <w:numId w:val="1"/>
              </w:numPr>
              <w:spacing w:before="91" w:line="192" w:lineRule="exact"/>
              <w:textAlignment w:val="baseline"/>
              <w:rPr>
                <w:rFonts w:eastAsia="Titillium Web" w:cstheme="minorHAnsi"/>
                <w:bCs/>
                <w:color w:val="000000"/>
                <w:sz w:val="20"/>
                <w:szCs w:val="20"/>
                <w:lang w:val="en-US"/>
              </w:rPr>
            </w:pPr>
            <w:r w:rsidRPr="0033256B">
              <w:rPr>
                <w:rFonts w:eastAsia="Titillium Web" w:cstheme="minorHAnsi"/>
                <w:bCs/>
                <w:color w:val="000000"/>
                <w:sz w:val="20"/>
                <w:szCs w:val="20"/>
                <w:lang w:val="en-US"/>
              </w:rPr>
              <w:t xml:space="preserve">White </w:t>
            </w:r>
            <w:proofErr w:type="spellStart"/>
            <w:r w:rsidRPr="0033256B">
              <w:rPr>
                <w:rFonts w:eastAsia="Titillium Web" w:cstheme="minorHAnsi"/>
                <w:bCs/>
                <w:color w:val="000000"/>
                <w:sz w:val="20"/>
                <w:szCs w:val="20"/>
                <w:lang w:val="en-US"/>
              </w:rPr>
              <w:t>warehou</w:t>
            </w:r>
            <w:proofErr w:type="spellEnd"/>
          </w:p>
          <w:p w14:paraId="792D18E5" w14:textId="77777777" w:rsidR="00AF68AD" w:rsidRPr="0033256B" w:rsidRDefault="00AF68AD" w:rsidP="0033256B">
            <w:pPr>
              <w:pStyle w:val="ListParagraph"/>
              <w:numPr>
                <w:ilvl w:val="0"/>
                <w:numId w:val="1"/>
              </w:numPr>
              <w:spacing w:before="91" w:line="192" w:lineRule="exact"/>
              <w:textAlignment w:val="baseline"/>
              <w:rPr>
                <w:rFonts w:eastAsia="Titillium Web" w:cstheme="minorHAnsi"/>
                <w:bCs/>
                <w:color w:val="000000"/>
                <w:sz w:val="20"/>
                <w:szCs w:val="20"/>
                <w:lang w:val="en-US"/>
              </w:rPr>
            </w:pPr>
            <w:r w:rsidRPr="0033256B">
              <w:rPr>
                <w:rFonts w:eastAsia="Titillium Web" w:cstheme="minorHAnsi"/>
                <w:bCs/>
                <w:color w:val="000000"/>
                <w:sz w:val="20"/>
                <w:szCs w:val="20"/>
                <w:lang w:val="en-US"/>
              </w:rPr>
              <w:t xml:space="preserve">Yellow-eyed mullet </w:t>
            </w:r>
          </w:p>
          <w:p w14:paraId="52210BCA" w14:textId="77777777" w:rsidR="00AF68AD" w:rsidRPr="0033256B" w:rsidRDefault="00AF68AD" w:rsidP="0033256B">
            <w:pPr>
              <w:spacing w:before="91" w:line="192" w:lineRule="exact"/>
              <w:textAlignment w:val="baseline"/>
              <w:rPr>
                <w:rFonts w:eastAsia="Titillium Web" w:cstheme="minorHAnsi"/>
                <w:bCs/>
                <w:color w:val="000000"/>
                <w:sz w:val="20"/>
                <w:szCs w:val="20"/>
                <w:lang w:val="en-US"/>
              </w:rPr>
            </w:pPr>
          </w:p>
          <w:p w14:paraId="58CE354C" w14:textId="77777777" w:rsidR="00AF68AD" w:rsidRPr="0033256B" w:rsidRDefault="00AF68AD" w:rsidP="0033256B">
            <w:pPr>
              <w:spacing w:before="91" w:line="192" w:lineRule="exact"/>
              <w:textAlignment w:val="baseline"/>
              <w:rPr>
                <w:rFonts w:eastAsia="Titillium Web" w:cstheme="minorHAnsi"/>
                <w:bCs/>
                <w:color w:val="000000"/>
                <w:sz w:val="20"/>
                <w:szCs w:val="20"/>
                <w:lang w:val="en-US"/>
              </w:rPr>
            </w:pPr>
          </w:p>
        </w:tc>
        <w:tc>
          <w:tcPr>
            <w:tcW w:w="2452" w:type="dxa"/>
            <w:vAlign w:val="center"/>
          </w:tcPr>
          <w:p w14:paraId="79DF9A8B" w14:textId="77777777" w:rsidR="0070280B" w:rsidRPr="0033256B" w:rsidRDefault="0070280B" w:rsidP="0033256B">
            <w:pPr>
              <w:spacing w:line="292" w:lineRule="exact"/>
              <w:textAlignment w:val="baseline"/>
              <w:rPr>
                <w:rFonts w:eastAsia="Titillium Web" w:cstheme="minorHAnsi"/>
                <w:bCs/>
                <w:color w:val="000000"/>
                <w:sz w:val="20"/>
                <w:szCs w:val="20"/>
                <w:lang w:val="en-US"/>
              </w:rPr>
            </w:pPr>
          </w:p>
          <w:p w14:paraId="1238C2F5" w14:textId="77777777" w:rsidR="00AF68AD" w:rsidRPr="0033256B" w:rsidRDefault="00AF68AD" w:rsidP="0033256B">
            <w:pPr>
              <w:spacing w:line="292" w:lineRule="exact"/>
              <w:jc w:val="center"/>
              <w:textAlignment w:val="baseline"/>
              <w:rPr>
                <w:rFonts w:eastAsia="Times New Roman" w:cstheme="minorHAnsi"/>
                <w:bCs/>
                <w:color w:val="000000"/>
                <w:sz w:val="20"/>
                <w:szCs w:val="20"/>
                <w:lang w:val="en-US" w:eastAsia="ja-JP"/>
              </w:rPr>
            </w:pPr>
            <w:r w:rsidRPr="0033256B">
              <w:rPr>
                <w:rFonts w:eastAsia="Titillium Web" w:cstheme="minorHAnsi"/>
                <w:bCs/>
                <w:color w:val="000000"/>
                <w:sz w:val="20"/>
                <w:szCs w:val="20"/>
                <w:lang w:val="en-US"/>
              </w:rPr>
              <w:t xml:space="preserve">RBY 5 - </w:t>
            </w:r>
            <w:r w:rsidRPr="0033256B">
              <w:rPr>
                <w:rFonts w:eastAsia="Times New Roman" w:cstheme="minorHAnsi"/>
                <w:bCs/>
                <w:color w:val="000000"/>
                <w:sz w:val="20"/>
                <w:szCs w:val="20"/>
                <w:lang w:val="en-US" w:eastAsia="ja-JP"/>
              </w:rPr>
              <w:t>↑</w:t>
            </w:r>
          </w:p>
          <w:p w14:paraId="269BD93E" w14:textId="77777777" w:rsidR="00AF68AD" w:rsidRPr="0033256B" w:rsidRDefault="00AF68AD" w:rsidP="0033256B">
            <w:pPr>
              <w:spacing w:line="292" w:lineRule="exact"/>
              <w:jc w:val="center"/>
              <w:textAlignment w:val="baseline"/>
              <w:rPr>
                <w:rFonts w:eastAsia="Times New Roman" w:cstheme="minorHAnsi"/>
                <w:bCs/>
                <w:color w:val="000000"/>
                <w:sz w:val="20"/>
                <w:szCs w:val="20"/>
                <w:lang w:val="en-US" w:eastAsia="ja-JP"/>
              </w:rPr>
            </w:pPr>
            <w:r w:rsidRPr="0033256B">
              <w:rPr>
                <w:rFonts w:eastAsia="Titillium Web" w:cstheme="minorHAnsi"/>
                <w:bCs/>
                <w:color w:val="000000"/>
                <w:sz w:val="20"/>
                <w:szCs w:val="20"/>
                <w:lang w:val="en-US"/>
              </w:rPr>
              <w:t xml:space="preserve">RBY 6 - </w:t>
            </w:r>
            <w:r w:rsidRPr="0033256B">
              <w:rPr>
                <w:rFonts w:eastAsia="Times New Roman" w:cstheme="minorHAnsi"/>
                <w:bCs/>
                <w:color w:val="000000"/>
                <w:sz w:val="20"/>
                <w:szCs w:val="20"/>
                <w:lang w:val="en-US" w:eastAsia="ja-JP"/>
              </w:rPr>
              <w:t>↑</w:t>
            </w:r>
          </w:p>
          <w:p w14:paraId="43E9E7C1" w14:textId="77777777" w:rsidR="00AF68AD" w:rsidRPr="0033256B" w:rsidRDefault="00AF68AD" w:rsidP="0033256B">
            <w:pPr>
              <w:spacing w:line="292" w:lineRule="exact"/>
              <w:jc w:val="center"/>
              <w:textAlignment w:val="baseline"/>
              <w:rPr>
                <w:rFonts w:eastAsia="Times New Roman" w:cstheme="minorHAnsi"/>
                <w:bCs/>
                <w:color w:val="000000"/>
                <w:sz w:val="20"/>
                <w:szCs w:val="20"/>
                <w:lang w:val="en-US" w:eastAsia="ja-JP"/>
              </w:rPr>
            </w:pPr>
            <w:r w:rsidRPr="0033256B">
              <w:rPr>
                <w:rFonts w:eastAsia="Titillium Web" w:cstheme="minorHAnsi"/>
                <w:bCs/>
                <w:color w:val="000000"/>
                <w:sz w:val="20"/>
                <w:szCs w:val="20"/>
                <w:lang w:val="en-US"/>
              </w:rPr>
              <w:t>TRU 6 -</w:t>
            </w:r>
            <w:r w:rsidRPr="0033256B">
              <w:rPr>
                <w:rFonts w:eastAsia="Times New Roman" w:cstheme="minorHAnsi"/>
                <w:bCs/>
                <w:color w:val="000000"/>
                <w:sz w:val="20"/>
                <w:szCs w:val="20"/>
                <w:lang w:val="en-US" w:eastAsia="ja-JP"/>
              </w:rPr>
              <w:t>↑</w:t>
            </w:r>
          </w:p>
          <w:p w14:paraId="7F6CB4D8" w14:textId="77777777" w:rsidR="00AF68AD" w:rsidRPr="0033256B" w:rsidRDefault="00AF68AD" w:rsidP="0033256B">
            <w:pPr>
              <w:spacing w:line="292" w:lineRule="exact"/>
              <w:jc w:val="center"/>
              <w:textAlignment w:val="baseline"/>
              <w:rPr>
                <w:rFonts w:eastAsia="Times New Roman" w:cstheme="minorHAnsi"/>
                <w:bCs/>
                <w:color w:val="000000"/>
                <w:sz w:val="20"/>
                <w:szCs w:val="20"/>
                <w:lang w:val="en-US" w:eastAsia="ja-JP"/>
              </w:rPr>
            </w:pPr>
            <w:r w:rsidRPr="0033256B">
              <w:rPr>
                <w:rFonts w:eastAsia="Titillium Web" w:cstheme="minorHAnsi"/>
                <w:bCs/>
                <w:color w:val="000000"/>
                <w:sz w:val="20"/>
                <w:szCs w:val="20"/>
                <w:lang w:val="en-US"/>
              </w:rPr>
              <w:t xml:space="preserve">TRU 9 - </w:t>
            </w:r>
            <w:r w:rsidRPr="0033256B">
              <w:rPr>
                <w:rFonts w:eastAsia="Times New Roman" w:cstheme="minorHAnsi"/>
                <w:bCs/>
                <w:color w:val="000000"/>
                <w:sz w:val="20"/>
                <w:szCs w:val="20"/>
                <w:lang w:val="en-US" w:eastAsia="ja-JP"/>
              </w:rPr>
              <w:t>↑</w:t>
            </w:r>
          </w:p>
          <w:p w14:paraId="0862CB97" w14:textId="77777777" w:rsidR="00AF68AD" w:rsidRPr="0033256B" w:rsidRDefault="00AF68AD" w:rsidP="0033256B">
            <w:pPr>
              <w:spacing w:line="292" w:lineRule="exact"/>
              <w:jc w:val="center"/>
              <w:textAlignment w:val="baseline"/>
              <w:rPr>
                <w:rFonts w:eastAsia="Times New Roman" w:cstheme="minorHAnsi"/>
                <w:bCs/>
                <w:color w:val="000000"/>
                <w:sz w:val="20"/>
                <w:szCs w:val="20"/>
                <w:lang w:val="en-US" w:eastAsia="ja-JP"/>
              </w:rPr>
            </w:pPr>
            <w:r w:rsidRPr="0033256B">
              <w:rPr>
                <w:rFonts w:eastAsia="Titillium Web" w:cstheme="minorHAnsi"/>
                <w:bCs/>
                <w:color w:val="000000"/>
                <w:sz w:val="20"/>
                <w:szCs w:val="20"/>
                <w:lang w:val="en-US"/>
              </w:rPr>
              <w:t xml:space="preserve">WWA 9 - </w:t>
            </w:r>
            <w:r w:rsidRPr="0033256B">
              <w:rPr>
                <w:rFonts w:eastAsia="Times New Roman" w:cstheme="minorHAnsi"/>
                <w:bCs/>
                <w:color w:val="000000"/>
                <w:sz w:val="20"/>
                <w:szCs w:val="20"/>
                <w:lang w:val="en-US" w:eastAsia="ja-JP"/>
              </w:rPr>
              <w:t>↑</w:t>
            </w:r>
          </w:p>
          <w:p w14:paraId="512922EA" w14:textId="77777777" w:rsidR="00AF68AD" w:rsidRPr="0033256B" w:rsidRDefault="00AF68AD" w:rsidP="0033256B">
            <w:pPr>
              <w:spacing w:line="292" w:lineRule="exact"/>
              <w:jc w:val="center"/>
              <w:textAlignment w:val="baseline"/>
              <w:rPr>
                <w:rFonts w:eastAsia="Times New Roman" w:cstheme="minorHAnsi"/>
                <w:color w:val="000000"/>
                <w:sz w:val="20"/>
                <w:szCs w:val="20"/>
                <w:lang w:eastAsia="ja-JP"/>
              </w:rPr>
            </w:pPr>
            <w:r w:rsidRPr="0033256B">
              <w:rPr>
                <w:rFonts w:eastAsia="Titillium Web" w:cstheme="minorHAnsi"/>
                <w:bCs/>
                <w:color w:val="000000"/>
                <w:sz w:val="20"/>
                <w:szCs w:val="20"/>
                <w:lang w:val="en-US"/>
              </w:rPr>
              <w:t xml:space="preserve">YEM 5 - </w:t>
            </w:r>
            <w:r w:rsidRPr="0033256B">
              <w:rPr>
                <w:rFonts w:eastAsia="Times New Roman" w:cstheme="minorHAnsi"/>
                <w:bCs/>
                <w:color w:val="000000"/>
                <w:sz w:val="20"/>
                <w:szCs w:val="20"/>
                <w:lang w:val="en-US" w:eastAsia="ja-JP"/>
              </w:rPr>
              <w:t>↑</w:t>
            </w:r>
          </w:p>
          <w:p w14:paraId="322D5AA7" w14:textId="77777777" w:rsidR="00AF68AD" w:rsidRPr="0033256B" w:rsidRDefault="00AF68AD" w:rsidP="0033256B">
            <w:pPr>
              <w:spacing w:line="292" w:lineRule="exact"/>
              <w:jc w:val="center"/>
              <w:textAlignment w:val="baseline"/>
              <w:rPr>
                <w:rFonts w:eastAsia="Titillium Web" w:cstheme="minorHAnsi"/>
                <w:color w:val="000000"/>
                <w:sz w:val="20"/>
                <w:szCs w:val="20"/>
              </w:rPr>
            </w:pPr>
          </w:p>
          <w:p w14:paraId="10FB84E0" w14:textId="77777777" w:rsidR="00AF68AD" w:rsidRPr="0033256B" w:rsidRDefault="00AF68AD" w:rsidP="0033256B">
            <w:pPr>
              <w:spacing w:line="292" w:lineRule="exact"/>
              <w:jc w:val="center"/>
              <w:textAlignment w:val="baseline"/>
              <w:rPr>
                <w:rFonts w:eastAsia="Titillium Web" w:cstheme="minorHAnsi"/>
                <w:color w:val="000000"/>
                <w:sz w:val="20"/>
                <w:szCs w:val="20"/>
              </w:rPr>
            </w:pPr>
          </w:p>
        </w:tc>
        <w:tc>
          <w:tcPr>
            <w:tcW w:w="6946" w:type="dxa"/>
          </w:tcPr>
          <w:p w14:paraId="1C252E70" w14:textId="77777777" w:rsidR="00AF68AD" w:rsidRPr="0033256B" w:rsidRDefault="00967CA0" w:rsidP="0033256B">
            <w:pPr>
              <w:rPr>
                <w:rFonts w:cstheme="minorHAnsi"/>
                <w:sz w:val="20"/>
                <w:szCs w:val="20"/>
              </w:rPr>
            </w:pPr>
            <w:r w:rsidRPr="0033256B">
              <w:rPr>
                <w:rFonts w:cstheme="minorHAnsi"/>
                <w:sz w:val="20"/>
                <w:szCs w:val="20"/>
              </w:rPr>
              <w:t>Nominal TACCs of between 1 – 2 tonnes are being proposed based on catch history and other relevant information. A TACC of zero creates an unnecessary utilisation barrier for industry, leading to deemed value payments and disincentives to accurately report catch. Allowances for customary and recreational fishing are also being considered for those inshore stocks where there is likely to be catch from these sectors (i.e. YEM 5 and TRU 9).</w:t>
            </w:r>
          </w:p>
        </w:tc>
        <w:tc>
          <w:tcPr>
            <w:tcW w:w="3685" w:type="dxa"/>
          </w:tcPr>
          <w:p w14:paraId="597346D8" w14:textId="77777777" w:rsidR="00AF68AD" w:rsidRPr="0033256B" w:rsidRDefault="00AF68AD" w:rsidP="0033256B">
            <w:pPr>
              <w:rPr>
                <w:rFonts w:cstheme="minorHAnsi"/>
                <w:sz w:val="20"/>
                <w:szCs w:val="20"/>
              </w:rPr>
            </w:pPr>
          </w:p>
        </w:tc>
      </w:tr>
    </w:tbl>
    <w:p w14:paraId="40901BAC" w14:textId="77777777" w:rsidR="00722B33" w:rsidRDefault="00722B33" w:rsidP="0033256B">
      <w:bookmarkStart w:id="0" w:name="_GoBack"/>
      <w:bookmarkEnd w:id="0"/>
    </w:p>
    <w:sectPr w:rsidR="00722B33" w:rsidSect="0033256B">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0CE77" w14:textId="77777777" w:rsidR="009225C6" w:rsidRDefault="009225C6" w:rsidP="0033256B">
      <w:pPr>
        <w:spacing w:after="0" w:line="240" w:lineRule="auto"/>
      </w:pPr>
      <w:r>
        <w:separator/>
      </w:r>
    </w:p>
  </w:endnote>
  <w:endnote w:type="continuationSeparator" w:id="0">
    <w:p w14:paraId="45BB4F94" w14:textId="77777777" w:rsidR="009225C6" w:rsidRDefault="009225C6" w:rsidP="0033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tillium Web">
    <w:panose1 w:val="000005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06D1D" w14:textId="77777777" w:rsidR="009225C6" w:rsidRDefault="009225C6" w:rsidP="0033256B">
      <w:pPr>
        <w:spacing w:after="0" w:line="240" w:lineRule="auto"/>
      </w:pPr>
      <w:r>
        <w:separator/>
      </w:r>
    </w:p>
  </w:footnote>
  <w:footnote w:type="continuationSeparator" w:id="0">
    <w:p w14:paraId="7F8EB76C" w14:textId="77777777" w:rsidR="009225C6" w:rsidRDefault="009225C6" w:rsidP="00332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AB38" w14:textId="0560B4C3" w:rsidR="0033256B" w:rsidRDefault="0033256B" w:rsidP="0033256B">
    <w:pPr>
      <w:pStyle w:val="Header"/>
      <w:jc w:val="right"/>
    </w:pPr>
    <w:r>
      <w:rPr>
        <w:noProof/>
      </w:rPr>
      <w:drawing>
        <wp:inline distT="0" distB="0" distL="0" distR="0" wp14:anchorId="6A034047" wp14:editId="7397D52D">
          <wp:extent cx="1298696"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KM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1311080" cy="519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A10AD"/>
    <w:multiLevelType w:val="hybridMultilevel"/>
    <w:tmpl w:val="E528C5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14"/>
    <w:rsid w:val="001C3F22"/>
    <w:rsid w:val="002F1EF8"/>
    <w:rsid w:val="0033256B"/>
    <w:rsid w:val="005B0B36"/>
    <w:rsid w:val="005C77FA"/>
    <w:rsid w:val="006D6364"/>
    <w:rsid w:val="0070280B"/>
    <w:rsid w:val="00722B33"/>
    <w:rsid w:val="00780699"/>
    <w:rsid w:val="009225C6"/>
    <w:rsid w:val="00967CA0"/>
    <w:rsid w:val="00970781"/>
    <w:rsid w:val="009B387F"/>
    <w:rsid w:val="00A77462"/>
    <w:rsid w:val="00AF68AD"/>
    <w:rsid w:val="00B12614"/>
    <w:rsid w:val="00B50117"/>
    <w:rsid w:val="00B97A67"/>
    <w:rsid w:val="00D32928"/>
    <w:rsid w:val="00E23A2C"/>
    <w:rsid w:val="00E70AB3"/>
    <w:rsid w:val="00EB2A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75AD4"/>
  <w15:chartTrackingRefBased/>
  <w15:docId w15:val="{E127CB6B-B653-4A97-A63D-44E054ED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614"/>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61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0AB3"/>
    <w:rPr>
      <w:color w:val="0000FF"/>
      <w:u w:val="single"/>
    </w:rPr>
  </w:style>
  <w:style w:type="paragraph" w:customStyle="1" w:styleId="size-151">
    <w:name w:val="size-151"/>
    <w:basedOn w:val="Normal"/>
    <w:rsid w:val="00E70AB3"/>
    <w:pPr>
      <w:spacing w:before="100" w:beforeAutospacing="1" w:after="100" w:afterAutospacing="1" w:line="345" w:lineRule="atLeast"/>
    </w:pPr>
    <w:rPr>
      <w:rFonts w:ascii="Calibri" w:eastAsiaTheme="minorHAnsi" w:hAnsi="Calibri" w:cs="Calibri"/>
      <w:sz w:val="23"/>
      <w:szCs w:val="23"/>
      <w:lang w:eastAsia="en-NZ"/>
    </w:rPr>
  </w:style>
  <w:style w:type="character" w:styleId="UnresolvedMention">
    <w:name w:val="Unresolved Mention"/>
    <w:basedOn w:val="DefaultParagraphFont"/>
    <w:uiPriority w:val="99"/>
    <w:semiHidden/>
    <w:unhideWhenUsed/>
    <w:rsid w:val="00E70AB3"/>
    <w:rPr>
      <w:color w:val="605E5C"/>
      <w:shd w:val="clear" w:color="auto" w:fill="E1DFDD"/>
    </w:rPr>
  </w:style>
  <w:style w:type="paragraph" w:styleId="ListParagraph">
    <w:name w:val="List Paragraph"/>
    <w:basedOn w:val="Normal"/>
    <w:uiPriority w:val="34"/>
    <w:qFormat/>
    <w:rsid w:val="002F1EF8"/>
    <w:pPr>
      <w:ind w:left="720"/>
      <w:contextualSpacing/>
    </w:pPr>
  </w:style>
  <w:style w:type="paragraph" w:styleId="Header">
    <w:name w:val="header"/>
    <w:basedOn w:val="Normal"/>
    <w:link w:val="HeaderChar"/>
    <w:uiPriority w:val="99"/>
    <w:unhideWhenUsed/>
    <w:rsid w:val="00332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6B"/>
    <w:rPr>
      <w:rFonts w:eastAsia="MS Mincho"/>
    </w:rPr>
  </w:style>
  <w:style w:type="paragraph" w:styleId="Footer">
    <w:name w:val="footer"/>
    <w:basedOn w:val="Normal"/>
    <w:link w:val="FooterChar"/>
    <w:uiPriority w:val="99"/>
    <w:unhideWhenUsed/>
    <w:rsid w:val="00332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6B"/>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Holmes</dc:creator>
  <cp:keywords/>
  <dc:description/>
  <cp:lastModifiedBy>Bede Dwyer</cp:lastModifiedBy>
  <cp:revision>2</cp:revision>
  <dcterms:created xsi:type="dcterms:W3CDTF">2019-12-18T18:13:00Z</dcterms:created>
  <dcterms:modified xsi:type="dcterms:W3CDTF">2019-12-18T18:13:00Z</dcterms:modified>
</cp:coreProperties>
</file>